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9524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77C4A10">
            <w:pPr>
              <w:pStyle w:val="18"/>
              <w:framePr w:wrap="notBeside" w:vAnchor="page" w:hAnchor="page" w:x="1372" w:y="568"/>
              <w:tabs>
                <w:tab w:val="clear" w:pos="4153"/>
                <w:tab w:val="clear" w:pos="8306"/>
              </w:tabs>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8190454">
            <w:pPr>
              <w:pStyle w:val="18"/>
              <w:framePr w:wrap="notBeside" w:vAnchor="page" w:hAnchor="page" w:x="1372" w:y="568"/>
              <w:tabs>
                <w:tab w:val="clear" w:pos="4153"/>
                <w:tab w:val="clear" w:pos="8306"/>
              </w:tabs>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67.120.30</w:t>
            </w:r>
            <w:r>
              <w:rPr>
                <w:rFonts w:ascii="黑体" w:hAnsi="黑体" w:eastAsia="黑体"/>
                <w:sz w:val="21"/>
                <w:szCs w:val="21"/>
              </w:rPr>
              <w:fldChar w:fldCharType="end"/>
            </w:r>
            <w:bookmarkEnd w:id="0"/>
          </w:p>
        </w:tc>
      </w:tr>
      <w:tr w14:paraId="5466E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161D0BF">
            <w:pPr>
              <w:pStyle w:val="18"/>
              <w:framePr w:wrap="notBeside" w:vAnchor="page" w:hAnchor="page" w:x="1372" w:y="568"/>
              <w:tabs>
                <w:tab w:val="clear" w:pos="4153"/>
                <w:tab w:val="clear" w:pos="8306"/>
              </w:tabs>
              <w:spacing w:before="40"/>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7773E0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76EB2C1">
                  <w:pPr>
                    <w:pStyle w:val="49"/>
                    <w:framePr w:wrap="notBeside" w:vAnchor="page" w:hAnchor="page" w:x="1372" w:y="568"/>
                    <w:ind w:left="420" w:right="624"/>
                    <w:rPr>
                      <w:rFonts w:ascii="宋体" w:hAnsi="宋体"/>
                      <w:sz w:val="28"/>
                      <w:szCs w:val="28"/>
                    </w:rPr>
                  </w:pPr>
                </w:p>
              </w:tc>
            </w:tr>
          </w:tbl>
          <w:p w14:paraId="5E760508">
            <w:pPr>
              <w:pStyle w:val="18"/>
              <w:framePr w:wrap="notBeside" w:vAnchor="page" w:hAnchor="page" w:x="1372" w:y="568"/>
              <w:tabs>
                <w:tab w:val="clear" w:pos="4153"/>
                <w:tab w:val="clear" w:pos="8306"/>
              </w:tabs>
              <w:spacing w:before="40"/>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52</w:t>
            </w:r>
            <w:r>
              <w:rPr>
                <w:rFonts w:ascii="黑体" w:hAnsi="黑体" w:eastAsia="黑体"/>
                <w:sz w:val="21"/>
                <w:szCs w:val="21"/>
              </w:rPr>
              <w:fldChar w:fldCharType="end"/>
            </w:r>
            <w:bookmarkEnd w:id="1"/>
          </w:p>
        </w:tc>
      </w:tr>
    </w:tbl>
    <w:p w14:paraId="3E34DAE4">
      <w:pPr>
        <w:pStyle w:val="50"/>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7507CD19">
      <w:pPr>
        <w:pStyle w:val="195"/>
        <w:framePr/>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GXYYXH</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rPr>
          <w:rFonts w:hint="eastAsia"/>
        </w:rP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2025</w:t>
      </w:r>
      <w:r>
        <w:fldChar w:fldCharType="end"/>
      </w:r>
      <w:bookmarkEnd w:id="5"/>
    </w:p>
    <w:p w14:paraId="58B015B9">
      <w:pPr>
        <w:pStyle w:val="195"/>
        <w:framePr/>
      </w:pPr>
      <w:r>
        <w:t>T/</w:t>
      </w:r>
      <w:r>
        <w:fldChar w:fldCharType="begin">
          <w:ffData>
            <w:name w:val="文字1"/>
            <w:enabled/>
            <w:calcOnExit w:val="0"/>
            <w:textInput>
              <w:default w:val="XXX"/>
            </w:textInput>
          </w:ffData>
        </w:fldChar>
      </w:r>
      <w:r>
        <w:instrText xml:space="preserve"> FORMTEXT </w:instrText>
      </w:r>
      <w:r>
        <w:fldChar w:fldCharType="separate"/>
      </w:r>
      <w:r>
        <w:t>GX</w:t>
      </w:r>
      <w:r>
        <w:rPr>
          <w:rFonts w:hint="eastAsia"/>
        </w:rPr>
        <w:t>AS</w:t>
      </w:r>
      <w:r>
        <w:fldChar w:fldCharType="end"/>
      </w:r>
      <w:r>
        <w:t xml:space="preserve"> </w:t>
      </w:r>
      <w:r>
        <w:fldChar w:fldCharType="begin">
          <w:ffData>
            <w:name w:val="NSTD_CODE_F"/>
            <w:enabled/>
            <w:calcOnExit w:val="0"/>
            <w:textInput>
              <w:default w:val="XXXX"/>
            </w:textInput>
          </w:ffData>
        </w:fldChar>
      </w:r>
      <w:r>
        <w:instrText xml:space="preserve"> FORMTEXT </w:instrText>
      </w:r>
      <w:r>
        <w:fldChar w:fldCharType="separate"/>
      </w:r>
      <w:r>
        <w:rPr>
          <w:rFonts w:hint="eastAsia"/>
        </w:rPr>
        <w:t>XXXX</w:t>
      </w:r>
      <w:r>
        <w:fldChar w:fldCharType="end"/>
      </w:r>
      <w:r>
        <w:rPr>
          <w:rFonts w:hAnsi="黑体"/>
        </w:rPr>
        <w:t>—</w:t>
      </w:r>
      <w:r>
        <w:fldChar w:fldCharType="begin">
          <w:ffData>
            <w:name w:val="NSTD_CODE_B"/>
            <w:enabled/>
            <w:calcOnExit w:val="0"/>
            <w:textInput>
              <w:default w:val="XXXX"/>
            </w:textInput>
          </w:ffData>
        </w:fldChar>
      </w:r>
      <w:r>
        <w:instrText xml:space="preserve"> FORMTEXT </w:instrText>
      </w:r>
      <w:r>
        <w:fldChar w:fldCharType="separate"/>
      </w:r>
      <w:r>
        <w:t>2025</w:t>
      </w:r>
      <w:r>
        <w:fldChar w:fldCharType="end"/>
      </w:r>
    </w:p>
    <w:p w14:paraId="7C323B13">
      <w:pPr>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0F1A950">
      <w:pPr>
        <w:pStyle w:val="50"/>
        <w:framePr w:w="9639" w:h="6976" w:hRule="exact" w:hSpace="0" w:vSpace="0" w:wrap="around" w:hAnchor="page" w:y="6408"/>
        <w:jc w:val="center"/>
        <w:rPr>
          <w:rFonts w:ascii="黑体" w:hAnsi="黑体" w:eastAsia="黑体"/>
          <w:b w:val="0"/>
          <w:bCs w:val="0"/>
          <w:w w:val="100"/>
        </w:rPr>
      </w:pPr>
    </w:p>
    <w:p w14:paraId="04259208">
      <w:pPr>
        <w:pStyle w:val="197"/>
        <w:framePr w:h="6974" w:hRule="exact" w:wrap="around" w:x="1419" w:anchorLock="1"/>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t>横县鱼生全链条管理规范</w:t>
      </w:r>
      <w:r>
        <w:cr/>
      </w:r>
      <w:r>
        <w:t>第2部分：运输</w:t>
      </w:r>
      <w:r>
        <w:fldChar w:fldCharType="end"/>
      </w:r>
      <w:bookmarkEnd w:id="6"/>
    </w:p>
    <w:p w14:paraId="46301E9A">
      <w:pPr>
        <w:framePr w:w="9639" w:h="6974" w:hRule="exact" w:wrap="around" w:vAnchor="page" w:hAnchor="page" w:x="1419" w:y="6408" w:anchorLock="1"/>
        <w:ind w:left="-1418"/>
      </w:pPr>
    </w:p>
    <w:p w14:paraId="46ABE0D9">
      <w:pPr>
        <w:pStyle w:val="125"/>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7" w:name="ESTD_NAME"/>
      <w:r>
        <w:rPr>
          <w:rFonts w:eastAsia="黑体"/>
          <w:szCs w:val="28"/>
        </w:rPr>
        <w:instrText xml:space="preserve"> FORMTEXT </w:instrText>
      </w:r>
      <w:r>
        <w:rPr>
          <w:rFonts w:eastAsia="黑体"/>
          <w:szCs w:val="28"/>
        </w:rPr>
        <w:fldChar w:fldCharType="separate"/>
      </w:r>
      <w:r>
        <w:rPr>
          <w:rFonts w:ascii="黑体" w:hAnsi="黑体" w:eastAsia="黑体"/>
          <w:szCs w:val="28"/>
        </w:rPr>
        <w:t>T</w:t>
      </w:r>
      <w:r>
        <w:rPr>
          <w:rFonts w:hint="eastAsia" w:ascii="黑体" w:hAnsi="黑体" w:eastAsia="黑体"/>
          <w:szCs w:val="28"/>
        </w:rPr>
        <w:t>he whole</w:t>
      </w:r>
      <w:r>
        <w:rPr>
          <w:rFonts w:ascii="黑体" w:hAnsi="黑体" w:eastAsia="黑体"/>
          <w:szCs w:val="28"/>
        </w:rPr>
        <w:t>-</w:t>
      </w:r>
      <w:r>
        <w:rPr>
          <w:rFonts w:hint="eastAsia" w:ascii="黑体" w:hAnsi="黑体" w:eastAsia="黑体"/>
          <w:szCs w:val="28"/>
        </w:rPr>
        <w:t xml:space="preserve">chain </w:t>
      </w:r>
      <w:r>
        <w:rPr>
          <w:rFonts w:ascii="黑体" w:hAnsi="黑体" w:eastAsia="黑体"/>
          <w:szCs w:val="28"/>
        </w:rPr>
        <w:t>management specification for Hengxian Yusheng</w:t>
      </w:r>
    </w:p>
    <w:p w14:paraId="4849A554">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t xml:space="preserve">Part 2: </w:t>
      </w:r>
      <w:r>
        <w:rPr>
          <w:rFonts w:hint="eastAsia" w:ascii="黑体" w:hAnsi="黑体" w:eastAsia="黑体"/>
          <w:szCs w:val="28"/>
        </w:rPr>
        <w:t>T</w:t>
      </w:r>
      <w:r>
        <w:rPr>
          <w:rFonts w:ascii="黑体" w:hAnsi="黑体" w:eastAsia="黑体"/>
          <w:szCs w:val="28"/>
        </w:rPr>
        <w:t>ransportation</w:t>
      </w:r>
      <w:r>
        <w:rPr>
          <w:rFonts w:ascii="黑体" w:hAnsi="黑体" w:eastAsia="黑体"/>
          <w:szCs w:val="28"/>
        </w:rPr>
        <w:fldChar w:fldCharType="end"/>
      </w:r>
      <w:bookmarkEnd w:id="7"/>
    </w:p>
    <w:p w14:paraId="0108AB75">
      <w:pPr>
        <w:framePr w:w="9639" w:h="6974" w:hRule="exact" w:wrap="around" w:vAnchor="page" w:hAnchor="page" w:x="1419" w:y="6408" w:anchorLock="1"/>
        <w:spacing w:line="760" w:lineRule="exact"/>
        <w:ind w:left="-1418"/>
      </w:pPr>
    </w:p>
    <w:p w14:paraId="6A92EFF8">
      <w:pPr>
        <w:pStyle w:val="125"/>
        <w:framePr w:w="9639" w:h="6974" w:hRule="exact" w:wrap="around" w:vAnchor="page" w:hAnchor="page" w:x="1419" w:y="6408" w:anchorLock="1"/>
        <w:textAlignment w:val="bottom"/>
        <w:rPr>
          <w:rFonts w:eastAsia="黑体"/>
          <w:szCs w:val="28"/>
        </w:rPr>
      </w:pPr>
    </w:p>
    <w:p w14:paraId="0D65D06B">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fldChar w:fldCharType="separate"/>
      </w:r>
      <w:r>
        <w:rPr>
          <w:sz w:val="24"/>
          <w:szCs w:val="28"/>
        </w:rPr>
        <w:fldChar w:fldCharType="end"/>
      </w:r>
      <w:bookmarkEnd w:id="8"/>
    </w:p>
    <w:p w14:paraId="646FC53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9"/>
    </w:p>
    <w:p w14:paraId="0AB0EFE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sz w:val="21"/>
          <w:szCs w:val="28"/>
        </w:rPr>
        <w:instrText xml:space="preserve"> FORMDROPDOWN </w:instrText>
      </w:r>
      <w:r>
        <w:rPr>
          <w:b/>
          <w:sz w:val="21"/>
          <w:szCs w:val="28"/>
        </w:rPr>
        <w:fldChar w:fldCharType="separate"/>
      </w:r>
      <w:r>
        <w:rPr>
          <w:b/>
          <w:sz w:val="21"/>
          <w:szCs w:val="28"/>
        </w:rPr>
        <w:fldChar w:fldCharType="end"/>
      </w:r>
      <w:bookmarkEnd w:id="10"/>
    </w:p>
    <w:p w14:paraId="03B1D06B">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5C30128D">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0DA3E564">
      <w:pPr>
        <w:pStyle w:val="151"/>
        <w:framePr w:h="741" w:hRule="exact" w:hSpace="181" w:vSpace="181" w:wrap="around" w:vAnchor="page" w:y="15201"/>
        <w:rPr>
          <w:rFonts w:hAnsi="黑体"/>
          <w:w w:val="100"/>
          <w:sz w:val="28"/>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广西营养学会</w:t>
      </w:r>
      <w:r>
        <w:rPr>
          <w:rFonts w:hAnsi="黑体"/>
          <w:w w:val="100"/>
          <w:sz w:val="28"/>
        </w:rPr>
        <w:fldChar w:fldCharType="end"/>
      </w:r>
      <w:bookmarkEnd w:id="17"/>
    </w:p>
    <w:p w14:paraId="4D99D525">
      <w:pPr>
        <w:pStyle w:val="151"/>
        <w:framePr w:h="741" w:hRule="exact" w:hSpace="181" w:vSpace="181" w:wrap="around" w:vAnchor="page" w:y="15201"/>
        <w:rPr>
          <w:rFonts w:hAnsi="黑体"/>
        </w:rPr>
      </w:pPr>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p>
    <w:p w14:paraId="7B8AD338">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0" layoutInCell="1" allowOverlap="1">
                <wp:simplePos x="0" y="0"/>
                <wp:positionH relativeFrom="column">
                  <wp:posOffset>3773170</wp:posOffset>
                </wp:positionH>
                <wp:positionV relativeFrom="paragraph">
                  <wp:posOffset>7018020</wp:posOffset>
                </wp:positionV>
                <wp:extent cx="590550" cy="323850"/>
                <wp:effectExtent l="0" t="0" r="0" b="0"/>
                <wp:wrapNone/>
                <wp:docPr id="1195316569" name="文本框 3"/>
                <wp:cNvGraphicFramePr/>
                <a:graphic xmlns:a="http://schemas.openxmlformats.org/drawingml/2006/main">
                  <a:graphicData uri="http://schemas.microsoft.com/office/word/2010/wordprocessingShape">
                    <wps:wsp>
                      <wps:cNvSpPr txBox="1"/>
                      <wps:spPr>
                        <a:xfrm>
                          <a:off x="0" y="0"/>
                          <a:ext cx="590550" cy="323850"/>
                        </a:xfrm>
                        <a:prstGeom prst="rect">
                          <a:avLst/>
                        </a:prstGeom>
                        <a:solidFill>
                          <a:schemeClr val="lt1"/>
                        </a:solidFill>
                        <a:ln w="6350">
                          <a:noFill/>
                        </a:ln>
                      </wps:spPr>
                      <wps:txbx>
                        <w:txbxContent>
                          <w:p w14:paraId="268B4121">
                            <w:pPr>
                              <w:rPr>
                                <w:rFonts w:ascii="黑体" w:hAnsi="黑体" w:eastAsia="黑体"/>
                                <w:sz w:val="28"/>
                                <w:szCs w:val="28"/>
                              </w:rPr>
                            </w:pPr>
                            <w:r>
                              <w:rPr>
                                <w:rFonts w:hint="eastAsia" w:ascii="黑体" w:hAnsi="黑体" w:eastAsia="黑体"/>
                                <w:sz w:val="28"/>
                                <w:szCs w:val="28"/>
                              </w:rPr>
                              <w:t>发布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6" o:spt="202" type="#_x0000_t202" style="position:absolute;left:0pt;margin-left:297.1pt;margin-top:552.6pt;height:25.5pt;width:46.5pt;z-index:251661312;mso-width-relative:page;mso-height-relative:page;" fillcolor="#FFFFFF [3201]" filled="t" stroked="f" coordsize="21600,21600" o:gfxdata="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bkYR2NcAAAANAQAA&#10;DwAAAAAAAAABACAAAAAiAAAAZHJzL2Rvd25yZXYueG1sUEsBAhQAFAAAAAgAh07iQJdeLxlTAgAA&#10;lwQAAA4AAAAAAAAAAQAgAAAAJgEAAGRycy9lMm9Eb2MueG1sUEsFBgAAAAAGAAYAWQEAAOsFAAAA&#10;AA==&#10;">
                <v:fill on="t" focussize="0,0"/>
                <v:stroke on="f" weight="0.5pt"/>
                <v:imagedata o:title=""/>
                <o:lock v:ext="edit" aspectratio="f"/>
                <v:textbox>
                  <w:txbxContent>
                    <w:p w14:paraId="268B4121">
                      <w:pPr>
                        <w:rPr>
                          <w:rFonts w:ascii="黑体" w:hAnsi="黑体" w:eastAsia="黑体"/>
                          <w:sz w:val="28"/>
                          <w:szCs w:val="28"/>
                        </w:rPr>
                      </w:pPr>
                      <w:r>
                        <w:rPr>
                          <w:rFonts w:hint="eastAsia" w:ascii="黑体" w:hAnsi="黑体" w:eastAsia="黑体"/>
                          <w:sz w:val="28"/>
                          <w:szCs w:val="28"/>
                        </w:rPr>
                        <w:t>发布</w:t>
                      </w:r>
                    </w:p>
                  </w:txbxContent>
                </v:textbox>
              </v:shape>
            </w:pict>
          </mc:Fallback>
        </mc:AlternateContent>
      </w: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D0B811C">
      <w:pPr>
        <w:pStyle w:val="91"/>
        <w:spacing w:after="360"/>
        <w:rPr>
          <w:rFonts w:hint="eastAsia"/>
        </w:rPr>
      </w:pPr>
      <w:bookmarkStart w:id="18" w:name="BookMark1"/>
      <w:bookmarkStart w:id="19" w:name="_Toc206588605"/>
      <w:bookmarkStart w:id="20" w:name="_Toc207294304"/>
      <w:bookmarkStart w:id="21" w:name="_Toc207285724"/>
      <w:bookmarkStart w:id="22" w:name="_Toc207213859"/>
      <w:r>
        <w:rPr>
          <w:rFonts w:hint="eastAsia"/>
          <w:spacing w:val="320"/>
        </w:rPr>
        <w:t>目</w:t>
      </w:r>
      <w:r>
        <w:rPr>
          <w:rFonts w:hint="eastAsia"/>
        </w:rPr>
        <w:t>次</w:t>
      </w:r>
    </w:p>
    <w:p w14:paraId="33F06A40">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"_Toc207978082" </w:instrText>
      </w:r>
      <w:r>
        <w:fldChar w:fldCharType="separate"/>
      </w:r>
      <w:r>
        <w:rPr>
          <w:rStyle w:val="32"/>
        </w:rPr>
        <w:t>前言</w:t>
      </w:r>
      <w:r>
        <w:tab/>
      </w:r>
      <w:r>
        <w:fldChar w:fldCharType="begin"/>
      </w:r>
      <w:r>
        <w:instrText xml:space="preserve"> PAGEREF _Toc207978082 \h </w:instrText>
      </w:r>
      <w:r>
        <w:fldChar w:fldCharType="separate"/>
      </w:r>
      <w:r>
        <w:t>II</w:t>
      </w:r>
      <w:r>
        <w:fldChar w:fldCharType="end"/>
      </w:r>
      <w:r>
        <w:fldChar w:fldCharType="end"/>
      </w:r>
    </w:p>
    <w:p w14:paraId="5C8423AD">
      <w:pPr>
        <w:pStyle w:val="19"/>
        <w:tabs>
          <w:tab w:val="right" w:leader="dot" w:pos="9344"/>
        </w:tabs>
        <w:rPr>
          <w:rFonts w:asciiTheme="minorHAnsi" w:hAnsiTheme="minorHAnsi" w:eastAsiaTheme="minorEastAsia" w:cstheme="minorBidi"/>
          <w:szCs w:val="22"/>
        </w:rPr>
      </w:pPr>
      <w:r>
        <w:fldChar w:fldCharType="begin"/>
      </w:r>
      <w:r>
        <w:instrText xml:space="preserve"> HYPERLINK \l "_Toc207978083" </w:instrText>
      </w:r>
      <w:r>
        <w:fldChar w:fldCharType="separate"/>
      </w:r>
      <w:r>
        <w:rPr>
          <w:rStyle w:val="32"/>
        </w:rPr>
        <w:t>引言</w:t>
      </w:r>
      <w:r>
        <w:tab/>
      </w:r>
      <w:r>
        <w:fldChar w:fldCharType="begin"/>
      </w:r>
      <w:r>
        <w:instrText xml:space="preserve"> PAGEREF _Toc207978083 \h </w:instrText>
      </w:r>
      <w:r>
        <w:fldChar w:fldCharType="separate"/>
      </w:r>
      <w:r>
        <w:t>III</w:t>
      </w:r>
      <w:r>
        <w:fldChar w:fldCharType="end"/>
      </w:r>
      <w:r>
        <w:fldChar w:fldCharType="end"/>
      </w:r>
    </w:p>
    <w:p w14:paraId="2296136C">
      <w:pPr>
        <w:pStyle w:val="19"/>
        <w:tabs>
          <w:tab w:val="right" w:leader="dot" w:pos="9344"/>
        </w:tabs>
        <w:rPr>
          <w:rFonts w:asciiTheme="minorHAnsi" w:hAnsiTheme="minorHAnsi" w:eastAsiaTheme="minorEastAsia" w:cstheme="minorBidi"/>
          <w:szCs w:val="22"/>
        </w:rPr>
      </w:pPr>
      <w:r>
        <w:fldChar w:fldCharType="begin"/>
      </w:r>
      <w:r>
        <w:instrText xml:space="preserve"> HYPERLINK \l "_Toc207978084" </w:instrText>
      </w:r>
      <w:r>
        <w:fldChar w:fldCharType="separate"/>
      </w:r>
      <w:r>
        <w:rPr>
          <w:rStyle w:val="32"/>
        </w:rPr>
        <w:t>1  范围</w:t>
      </w:r>
      <w:r>
        <w:tab/>
      </w:r>
      <w:r>
        <w:fldChar w:fldCharType="begin"/>
      </w:r>
      <w:r>
        <w:instrText xml:space="preserve"> PAGEREF _Toc207978084 \h </w:instrText>
      </w:r>
      <w:r>
        <w:fldChar w:fldCharType="separate"/>
      </w:r>
      <w:r>
        <w:t>1</w:t>
      </w:r>
      <w:r>
        <w:fldChar w:fldCharType="end"/>
      </w:r>
      <w:r>
        <w:fldChar w:fldCharType="end"/>
      </w:r>
    </w:p>
    <w:p w14:paraId="06A9D91C">
      <w:pPr>
        <w:pStyle w:val="19"/>
        <w:tabs>
          <w:tab w:val="right" w:leader="dot" w:pos="9344"/>
        </w:tabs>
        <w:rPr>
          <w:rFonts w:asciiTheme="minorHAnsi" w:hAnsiTheme="minorHAnsi" w:eastAsiaTheme="minorEastAsia" w:cstheme="minorBidi"/>
          <w:szCs w:val="22"/>
        </w:rPr>
      </w:pPr>
      <w:r>
        <w:fldChar w:fldCharType="begin"/>
      </w:r>
      <w:r>
        <w:instrText xml:space="preserve"> HYPERLINK \l "_Toc207978085" </w:instrText>
      </w:r>
      <w:r>
        <w:fldChar w:fldCharType="separate"/>
      </w:r>
      <w:r>
        <w:rPr>
          <w:rStyle w:val="32"/>
        </w:rPr>
        <w:t>2  规范性引用文件</w:t>
      </w:r>
      <w:r>
        <w:tab/>
      </w:r>
      <w:r>
        <w:fldChar w:fldCharType="begin"/>
      </w:r>
      <w:r>
        <w:instrText xml:space="preserve"> PAGEREF _Toc207978085 \h </w:instrText>
      </w:r>
      <w:r>
        <w:fldChar w:fldCharType="separate"/>
      </w:r>
      <w:r>
        <w:t>1</w:t>
      </w:r>
      <w:r>
        <w:fldChar w:fldCharType="end"/>
      </w:r>
      <w:r>
        <w:fldChar w:fldCharType="end"/>
      </w:r>
    </w:p>
    <w:p w14:paraId="42D09EA2">
      <w:pPr>
        <w:pStyle w:val="19"/>
        <w:tabs>
          <w:tab w:val="right" w:leader="dot" w:pos="9344"/>
        </w:tabs>
        <w:rPr>
          <w:rFonts w:asciiTheme="minorHAnsi" w:hAnsiTheme="minorHAnsi" w:eastAsiaTheme="minorEastAsia" w:cstheme="minorBidi"/>
          <w:szCs w:val="22"/>
        </w:rPr>
      </w:pPr>
      <w:r>
        <w:fldChar w:fldCharType="begin"/>
      </w:r>
      <w:r>
        <w:instrText xml:space="preserve"> HYPERLINK \l "_Toc207978086" </w:instrText>
      </w:r>
      <w:r>
        <w:fldChar w:fldCharType="separate"/>
      </w:r>
      <w:r>
        <w:rPr>
          <w:rStyle w:val="32"/>
        </w:rPr>
        <w:t>3  术语和定义</w:t>
      </w:r>
      <w:r>
        <w:tab/>
      </w:r>
      <w:r>
        <w:fldChar w:fldCharType="begin"/>
      </w:r>
      <w:r>
        <w:instrText xml:space="preserve"> PAGEREF _Toc207978086 \h </w:instrText>
      </w:r>
      <w:r>
        <w:fldChar w:fldCharType="separate"/>
      </w:r>
      <w:r>
        <w:t>1</w:t>
      </w:r>
      <w:r>
        <w:fldChar w:fldCharType="end"/>
      </w:r>
      <w:r>
        <w:fldChar w:fldCharType="end"/>
      </w:r>
    </w:p>
    <w:p w14:paraId="2D502607">
      <w:pPr>
        <w:pStyle w:val="19"/>
        <w:tabs>
          <w:tab w:val="right" w:leader="dot" w:pos="9344"/>
        </w:tabs>
        <w:rPr>
          <w:rFonts w:asciiTheme="minorHAnsi" w:hAnsiTheme="minorHAnsi" w:eastAsiaTheme="minorEastAsia" w:cstheme="minorBidi"/>
          <w:szCs w:val="22"/>
        </w:rPr>
      </w:pPr>
      <w:r>
        <w:fldChar w:fldCharType="begin"/>
      </w:r>
      <w:r>
        <w:instrText xml:space="preserve"> HYPERLINK \l "_Toc207978087" </w:instrText>
      </w:r>
      <w:r>
        <w:fldChar w:fldCharType="separate"/>
      </w:r>
      <w:r>
        <w:rPr>
          <w:rStyle w:val="32"/>
        </w:rPr>
        <w:t>4  基本要求</w:t>
      </w:r>
      <w:r>
        <w:tab/>
      </w:r>
      <w:r>
        <w:fldChar w:fldCharType="begin"/>
      </w:r>
      <w:r>
        <w:instrText xml:space="preserve"> PAGEREF _Toc207978087 \h </w:instrText>
      </w:r>
      <w:r>
        <w:fldChar w:fldCharType="separate"/>
      </w:r>
      <w:r>
        <w:t>1</w:t>
      </w:r>
      <w:r>
        <w:fldChar w:fldCharType="end"/>
      </w:r>
      <w:r>
        <w:fldChar w:fldCharType="end"/>
      </w:r>
    </w:p>
    <w:p w14:paraId="72B8EA02">
      <w:pPr>
        <w:pStyle w:val="24"/>
        <w:rPr>
          <w:rFonts w:asciiTheme="minorHAnsi" w:hAnsiTheme="minorHAnsi" w:eastAsiaTheme="minorEastAsia" w:cstheme="minorBidi"/>
          <w:szCs w:val="22"/>
        </w:rPr>
      </w:pPr>
      <w:r>
        <w:fldChar w:fldCharType="begin"/>
      </w:r>
      <w:r>
        <w:instrText xml:space="preserve"> HYPERLINK \l "_Toc207978088" </w:instrText>
      </w:r>
      <w:r>
        <w:fldChar w:fldCharType="separate"/>
      </w:r>
      <w:r>
        <w:rPr>
          <w:rStyle w:val="32"/>
          <w:snapToGrid w:val="0"/>
          <w14:scene3d w14:prst="orthographicFront">
            <w14:lightRig w14:rig="threePt" w14:dir="t">
              <w14:rot w14:lat="0" w14:lon="0" w14:rev="0"/>
            </w14:lightRig>
          </w14:scene3d>
        </w:rPr>
        <w:t xml:space="preserve">4.1 </w:t>
      </w:r>
      <w:r>
        <w:rPr>
          <w:rStyle w:val="32"/>
          <w:snapToGrid w:val="0"/>
        </w:rPr>
        <w:t xml:space="preserve"> 活鱼质量</w:t>
      </w:r>
      <w:r>
        <w:tab/>
      </w:r>
      <w:r>
        <w:fldChar w:fldCharType="begin"/>
      </w:r>
      <w:r>
        <w:instrText xml:space="preserve"> PAGEREF _Toc207978088 \h </w:instrText>
      </w:r>
      <w:r>
        <w:fldChar w:fldCharType="separate"/>
      </w:r>
      <w:r>
        <w:t>1</w:t>
      </w:r>
      <w:r>
        <w:fldChar w:fldCharType="end"/>
      </w:r>
      <w:r>
        <w:fldChar w:fldCharType="end"/>
      </w:r>
    </w:p>
    <w:p w14:paraId="4ECB6528">
      <w:pPr>
        <w:pStyle w:val="24"/>
        <w:rPr>
          <w:rFonts w:asciiTheme="minorHAnsi" w:hAnsiTheme="minorHAnsi" w:eastAsiaTheme="minorEastAsia" w:cstheme="minorBidi"/>
          <w:szCs w:val="22"/>
        </w:rPr>
      </w:pPr>
      <w:r>
        <w:fldChar w:fldCharType="begin"/>
      </w:r>
      <w:r>
        <w:instrText xml:space="preserve"> HYPERLINK \l "_Toc207978089" </w:instrText>
      </w:r>
      <w:r>
        <w:fldChar w:fldCharType="separate"/>
      </w:r>
      <w:r>
        <w:rPr>
          <w:rStyle w:val="32"/>
          <w:snapToGrid w:val="0"/>
          <w14:scene3d w14:prst="orthographicFront">
            <w14:lightRig w14:rig="threePt" w14:dir="t">
              <w14:rot w14:lat="0" w14:lon="0" w14:rev="0"/>
            </w14:lightRig>
          </w14:scene3d>
        </w:rPr>
        <w:t xml:space="preserve">4.2 </w:t>
      </w:r>
      <w:r>
        <w:rPr>
          <w:rStyle w:val="32"/>
          <w:snapToGrid w:val="0"/>
        </w:rPr>
        <w:t xml:space="preserve"> 运输工具卫生</w:t>
      </w:r>
      <w:r>
        <w:tab/>
      </w:r>
      <w:r>
        <w:fldChar w:fldCharType="begin"/>
      </w:r>
      <w:r>
        <w:instrText xml:space="preserve"> PAGEREF _Toc207978089 \h </w:instrText>
      </w:r>
      <w:r>
        <w:fldChar w:fldCharType="separate"/>
      </w:r>
      <w:r>
        <w:t>1</w:t>
      </w:r>
      <w:r>
        <w:fldChar w:fldCharType="end"/>
      </w:r>
      <w:r>
        <w:fldChar w:fldCharType="end"/>
      </w:r>
    </w:p>
    <w:p w14:paraId="7A930286">
      <w:pPr>
        <w:pStyle w:val="24"/>
        <w:rPr>
          <w:rFonts w:asciiTheme="minorHAnsi" w:hAnsiTheme="minorHAnsi" w:eastAsiaTheme="minorEastAsia" w:cstheme="minorBidi"/>
          <w:szCs w:val="22"/>
        </w:rPr>
      </w:pPr>
      <w:r>
        <w:fldChar w:fldCharType="begin"/>
      </w:r>
      <w:r>
        <w:instrText xml:space="preserve"> HYPERLINK \l "_Toc207978090" </w:instrText>
      </w:r>
      <w:r>
        <w:fldChar w:fldCharType="separate"/>
      </w:r>
      <w:r>
        <w:rPr>
          <w:rStyle w:val="32"/>
          <w:snapToGrid w:val="0"/>
          <w14:scene3d w14:prst="orthographicFront">
            <w14:lightRig w14:rig="threePt" w14:dir="t">
              <w14:rot w14:lat="0" w14:lon="0" w14:rev="0"/>
            </w14:lightRig>
          </w14:scene3d>
        </w:rPr>
        <w:t xml:space="preserve">4.3 </w:t>
      </w:r>
      <w:r>
        <w:rPr>
          <w:rStyle w:val="32"/>
          <w:snapToGrid w:val="0"/>
        </w:rPr>
        <w:t xml:space="preserve"> 运输人员要求</w:t>
      </w:r>
      <w:r>
        <w:tab/>
      </w:r>
      <w:r>
        <w:fldChar w:fldCharType="begin"/>
      </w:r>
      <w:r>
        <w:instrText xml:space="preserve"> PAGEREF _Toc207978090 \h </w:instrText>
      </w:r>
      <w:r>
        <w:fldChar w:fldCharType="separate"/>
      </w:r>
      <w:r>
        <w:t>2</w:t>
      </w:r>
      <w:r>
        <w:fldChar w:fldCharType="end"/>
      </w:r>
      <w:r>
        <w:fldChar w:fldCharType="end"/>
      </w:r>
    </w:p>
    <w:p w14:paraId="09147F60">
      <w:pPr>
        <w:pStyle w:val="24"/>
        <w:rPr>
          <w:rFonts w:asciiTheme="minorHAnsi" w:hAnsiTheme="minorHAnsi" w:eastAsiaTheme="minorEastAsia" w:cstheme="minorBidi"/>
          <w:szCs w:val="22"/>
        </w:rPr>
      </w:pPr>
      <w:r>
        <w:fldChar w:fldCharType="begin"/>
      </w:r>
      <w:r>
        <w:instrText xml:space="preserve"> HYPERLINK \l "_Toc207978091" </w:instrText>
      </w:r>
      <w:r>
        <w:fldChar w:fldCharType="separate"/>
      </w:r>
      <w:r>
        <w:rPr>
          <w:rStyle w:val="32"/>
          <w:snapToGrid w:val="0"/>
          <w14:scene3d w14:prst="orthographicFront">
            <w14:lightRig w14:rig="threePt" w14:dir="t">
              <w14:rot w14:lat="0" w14:lon="0" w14:rev="0"/>
            </w14:lightRig>
          </w14:scene3d>
        </w:rPr>
        <w:t xml:space="preserve">4.4 </w:t>
      </w:r>
      <w:r>
        <w:rPr>
          <w:rStyle w:val="32"/>
          <w:snapToGrid w:val="0"/>
        </w:rPr>
        <w:t xml:space="preserve"> 水和冰</w:t>
      </w:r>
      <w:r>
        <w:tab/>
      </w:r>
      <w:r>
        <w:fldChar w:fldCharType="begin"/>
      </w:r>
      <w:r>
        <w:instrText xml:space="preserve"> PAGEREF _Toc207978091 \h </w:instrText>
      </w:r>
      <w:r>
        <w:fldChar w:fldCharType="separate"/>
      </w:r>
      <w:r>
        <w:t>2</w:t>
      </w:r>
      <w:r>
        <w:fldChar w:fldCharType="end"/>
      </w:r>
      <w:r>
        <w:fldChar w:fldCharType="end"/>
      </w:r>
    </w:p>
    <w:p w14:paraId="015AEC1B">
      <w:pPr>
        <w:pStyle w:val="19"/>
        <w:tabs>
          <w:tab w:val="right" w:leader="dot" w:pos="9344"/>
        </w:tabs>
        <w:rPr>
          <w:rFonts w:asciiTheme="minorHAnsi" w:hAnsiTheme="minorHAnsi" w:eastAsiaTheme="minorEastAsia" w:cstheme="minorBidi"/>
          <w:szCs w:val="22"/>
        </w:rPr>
      </w:pPr>
      <w:r>
        <w:fldChar w:fldCharType="begin"/>
      </w:r>
      <w:r>
        <w:instrText xml:space="preserve"> HYPERLINK \l "_Toc207978092" </w:instrText>
      </w:r>
      <w:r>
        <w:fldChar w:fldCharType="separate"/>
      </w:r>
      <w:r>
        <w:rPr>
          <w:rStyle w:val="32"/>
        </w:rPr>
        <w:t xml:space="preserve">5 </w:t>
      </w:r>
      <w:r>
        <w:rPr>
          <w:rStyle w:val="32"/>
          <w:snapToGrid w:val="0"/>
        </w:rPr>
        <w:t xml:space="preserve"> 横县鱼生用鱼运输要求</w:t>
      </w:r>
      <w:r>
        <w:tab/>
      </w:r>
      <w:r>
        <w:fldChar w:fldCharType="begin"/>
      </w:r>
      <w:r>
        <w:instrText xml:space="preserve"> PAGEREF _Toc207978092 \h </w:instrText>
      </w:r>
      <w:r>
        <w:fldChar w:fldCharType="separate"/>
      </w:r>
      <w:r>
        <w:t>2</w:t>
      </w:r>
      <w:r>
        <w:fldChar w:fldCharType="end"/>
      </w:r>
      <w:r>
        <w:fldChar w:fldCharType="end"/>
      </w:r>
    </w:p>
    <w:p w14:paraId="49C93B9A">
      <w:pPr>
        <w:pStyle w:val="24"/>
        <w:rPr>
          <w:rFonts w:asciiTheme="minorHAnsi" w:hAnsiTheme="minorHAnsi" w:eastAsiaTheme="minorEastAsia" w:cstheme="minorBidi"/>
          <w:szCs w:val="22"/>
        </w:rPr>
      </w:pPr>
      <w:r>
        <w:fldChar w:fldCharType="begin"/>
      </w:r>
      <w:r>
        <w:instrText xml:space="preserve"> HYPERLINK \l "_Toc207978093" </w:instrText>
      </w:r>
      <w:r>
        <w:fldChar w:fldCharType="separate"/>
      </w:r>
      <w:r>
        <w:rPr>
          <w:rStyle w:val="32"/>
          <w:snapToGrid w:val="0"/>
          <w14:scene3d w14:prst="orthographicFront">
            <w14:lightRig w14:rig="threePt" w14:dir="t">
              <w14:rot w14:lat="0" w14:lon="0" w14:rev="0"/>
            </w14:lightRig>
          </w14:scene3d>
        </w:rPr>
        <w:t xml:space="preserve">5.1 </w:t>
      </w:r>
      <w:r>
        <w:rPr>
          <w:rStyle w:val="32"/>
          <w:snapToGrid w:val="0"/>
        </w:rPr>
        <w:t xml:space="preserve"> 预处理</w:t>
      </w:r>
      <w:r>
        <w:tab/>
      </w:r>
      <w:r>
        <w:fldChar w:fldCharType="begin"/>
      </w:r>
      <w:r>
        <w:instrText xml:space="preserve"> PAGEREF _Toc207978093 \h </w:instrText>
      </w:r>
      <w:r>
        <w:fldChar w:fldCharType="separate"/>
      </w:r>
      <w:r>
        <w:t>2</w:t>
      </w:r>
      <w:r>
        <w:fldChar w:fldCharType="end"/>
      </w:r>
      <w:r>
        <w:fldChar w:fldCharType="end"/>
      </w:r>
    </w:p>
    <w:p w14:paraId="0069404D">
      <w:pPr>
        <w:pStyle w:val="24"/>
        <w:rPr>
          <w:rFonts w:asciiTheme="minorHAnsi" w:hAnsiTheme="minorHAnsi" w:eastAsiaTheme="minorEastAsia" w:cstheme="minorBidi"/>
          <w:szCs w:val="22"/>
        </w:rPr>
      </w:pPr>
      <w:r>
        <w:fldChar w:fldCharType="begin"/>
      </w:r>
      <w:r>
        <w:instrText xml:space="preserve"> HYPERLINK \l "_Toc207978094" </w:instrText>
      </w:r>
      <w:r>
        <w:fldChar w:fldCharType="separate"/>
      </w:r>
      <w:r>
        <w:rPr>
          <w:rStyle w:val="32"/>
          <w:snapToGrid w:val="0"/>
          <w14:scene3d w14:prst="orthographicFront">
            <w14:lightRig w14:rig="threePt" w14:dir="t">
              <w14:rot w14:lat="0" w14:lon="0" w14:rev="0"/>
            </w14:lightRig>
          </w14:scene3d>
        </w:rPr>
        <w:t xml:space="preserve">5.2 </w:t>
      </w:r>
      <w:r>
        <w:rPr>
          <w:rStyle w:val="32"/>
          <w:snapToGrid w:val="0"/>
        </w:rPr>
        <w:t xml:space="preserve"> 运输环境控制</w:t>
      </w:r>
      <w:r>
        <w:tab/>
      </w:r>
      <w:r>
        <w:fldChar w:fldCharType="begin"/>
      </w:r>
      <w:r>
        <w:instrText xml:space="preserve"> PAGEREF _Toc207978094 \h </w:instrText>
      </w:r>
      <w:r>
        <w:fldChar w:fldCharType="separate"/>
      </w:r>
      <w:r>
        <w:t>2</w:t>
      </w:r>
      <w:r>
        <w:fldChar w:fldCharType="end"/>
      </w:r>
      <w:r>
        <w:fldChar w:fldCharType="end"/>
      </w:r>
    </w:p>
    <w:p w14:paraId="4C54395F">
      <w:pPr>
        <w:pStyle w:val="24"/>
        <w:rPr>
          <w:rFonts w:asciiTheme="minorHAnsi" w:hAnsiTheme="minorHAnsi" w:eastAsiaTheme="minorEastAsia" w:cstheme="minorBidi"/>
          <w:szCs w:val="22"/>
        </w:rPr>
      </w:pPr>
      <w:r>
        <w:fldChar w:fldCharType="begin"/>
      </w:r>
      <w:r>
        <w:instrText xml:space="preserve"> HYPERLINK \l "_Toc207978095" </w:instrText>
      </w:r>
      <w:r>
        <w:fldChar w:fldCharType="separate"/>
      </w:r>
      <w:r>
        <w:rPr>
          <w:rStyle w:val="32"/>
          <w:snapToGrid w:val="0"/>
          <w14:scene3d w14:prst="orthographicFront">
            <w14:lightRig w14:rig="threePt" w14:dir="t">
              <w14:rot w14:lat="0" w14:lon="0" w14:rev="0"/>
            </w14:lightRig>
          </w14:scene3d>
        </w:rPr>
        <w:t xml:space="preserve">5.3 </w:t>
      </w:r>
      <w:r>
        <w:rPr>
          <w:rStyle w:val="32"/>
          <w:snapToGrid w:val="0"/>
        </w:rPr>
        <w:t xml:space="preserve"> 运输注意事项</w:t>
      </w:r>
      <w:r>
        <w:tab/>
      </w:r>
      <w:r>
        <w:fldChar w:fldCharType="begin"/>
      </w:r>
      <w:r>
        <w:instrText xml:space="preserve"> PAGEREF _Toc207978095 \h </w:instrText>
      </w:r>
      <w:r>
        <w:fldChar w:fldCharType="separate"/>
      </w:r>
      <w:r>
        <w:t>2</w:t>
      </w:r>
      <w:r>
        <w:fldChar w:fldCharType="end"/>
      </w:r>
      <w:r>
        <w:fldChar w:fldCharType="end"/>
      </w:r>
    </w:p>
    <w:p w14:paraId="217645D2">
      <w:pPr>
        <w:pStyle w:val="19"/>
        <w:tabs>
          <w:tab w:val="right" w:leader="dot" w:pos="9344"/>
        </w:tabs>
        <w:rPr>
          <w:rFonts w:asciiTheme="minorHAnsi" w:hAnsiTheme="minorHAnsi" w:eastAsiaTheme="minorEastAsia" w:cstheme="minorBidi"/>
          <w:szCs w:val="22"/>
        </w:rPr>
      </w:pPr>
      <w:r>
        <w:fldChar w:fldCharType="begin"/>
      </w:r>
      <w:r>
        <w:instrText xml:space="preserve"> HYPERLINK \l "_Toc207978096" </w:instrText>
      </w:r>
      <w:r>
        <w:fldChar w:fldCharType="separate"/>
      </w:r>
      <w:r>
        <w:rPr>
          <w:rStyle w:val="32"/>
          <w:snapToGrid w:val="0"/>
        </w:rPr>
        <w:t>6  特色辅料运输要求</w:t>
      </w:r>
      <w:r>
        <w:tab/>
      </w:r>
      <w:r>
        <w:fldChar w:fldCharType="begin"/>
      </w:r>
      <w:r>
        <w:instrText xml:space="preserve"> PAGEREF _Toc207978096 \h </w:instrText>
      </w:r>
      <w:r>
        <w:fldChar w:fldCharType="separate"/>
      </w:r>
      <w:r>
        <w:t>3</w:t>
      </w:r>
      <w:r>
        <w:fldChar w:fldCharType="end"/>
      </w:r>
      <w:r>
        <w:fldChar w:fldCharType="end"/>
      </w:r>
    </w:p>
    <w:p w14:paraId="2CCD011B">
      <w:pPr>
        <w:pStyle w:val="24"/>
        <w:rPr>
          <w:rFonts w:asciiTheme="minorHAnsi" w:hAnsiTheme="minorHAnsi" w:eastAsiaTheme="minorEastAsia" w:cstheme="minorBidi"/>
          <w:szCs w:val="22"/>
        </w:rPr>
      </w:pPr>
      <w:r>
        <w:fldChar w:fldCharType="begin"/>
      </w:r>
      <w:r>
        <w:instrText xml:space="preserve"> HYPERLINK \l "_Toc207978097" </w:instrText>
      </w:r>
      <w:r>
        <w:fldChar w:fldCharType="separate"/>
      </w:r>
      <w:r>
        <w:rPr>
          <w:rStyle w:val="32"/>
          <w:snapToGrid w:val="0"/>
          <w14:scene3d w14:prst="orthographicFront">
            <w14:lightRig w14:rig="threePt" w14:dir="t">
              <w14:rot w14:lat="0" w14:lon="0" w14:rev="0"/>
            </w14:lightRig>
          </w14:scene3d>
        </w:rPr>
        <w:t xml:space="preserve">6.1 </w:t>
      </w:r>
      <w:r>
        <w:rPr>
          <w:rStyle w:val="32"/>
          <w:snapToGrid w:val="0"/>
        </w:rPr>
        <w:t xml:space="preserve"> 分类运输条件</w:t>
      </w:r>
      <w:r>
        <w:tab/>
      </w:r>
      <w:r>
        <w:fldChar w:fldCharType="begin"/>
      </w:r>
      <w:r>
        <w:instrText xml:space="preserve"> PAGEREF _Toc207978097 \h </w:instrText>
      </w:r>
      <w:r>
        <w:fldChar w:fldCharType="separate"/>
      </w:r>
      <w:r>
        <w:t>3</w:t>
      </w:r>
      <w:r>
        <w:fldChar w:fldCharType="end"/>
      </w:r>
      <w:r>
        <w:fldChar w:fldCharType="end"/>
      </w:r>
    </w:p>
    <w:p w14:paraId="05CAAC6D">
      <w:pPr>
        <w:pStyle w:val="24"/>
        <w:rPr>
          <w:rFonts w:asciiTheme="minorHAnsi" w:hAnsiTheme="minorHAnsi" w:eastAsiaTheme="minorEastAsia" w:cstheme="minorBidi"/>
          <w:szCs w:val="22"/>
        </w:rPr>
      </w:pPr>
      <w:r>
        <w:fldChar w:fldCharType="begin"/>
      </w:r>
      <w:r>
        <w:instrText xml:space="preserve"> HYPERLINK \l "_Toc207978098" </w:instrText>
      </w:r>
      <w:r>
        <w:fldChar w:fldCharType="separate"/>
      </w:r>
      <w:r>
        <w:rPr>
          <w:rStyle w:val="32"/>
          <w14:scene3d w14:prst="orthographicFront">
            <w14:lightRig w14:rig="threePt" w14:dir="t">
              <w14:rot w14:lat="0" w14:lon="0" w14:rev="0"/>
            </w14:lightRig>
          </w14:scene3d>
        </w:rPr>
        <w:t xml:space="preserve">6.2 </w:t>
      </w:r>
      <w:r>
        <w:rPr>
          <w:rStyle w:val="32"/>
        </w:rPr>
        <w:t xml:space="preserve"> 卫生控制</w:t>
      </w:r>
      <w:r>
        <w:tab/>
      </w:r>
      <w:r>
        <w:fldChar w:fldCharType="begin"/>
      </w:r>
      <w:r>
        <w:instrText xml:space="preserve"> PAGEREF _Toc207978098 \h </w:instrText>
      </w:r>
      <w:r>
        <w:fldChar w:fldCharType="separate"/>
      </w:r>
      <w:r>
        <w:t>3</w:t>
      </w:r>
      <w:r>
        <w:fldChar w:fldCharType="end"/>
      </w:r>
      <w:r>
        <w:fldChar w:fldCharType="end"/>
      </w:r>
    </w:p>
    <w:p w14:paraId="201A90AC">
      <w:pPr>
        <w:pStyle w:val="24"/>
        <w:rPr>
          <w:rFonts w:asciiTheme="minorHAnsi" w:hAnsiTheme="minorHAnsi" w:eastAsiaTheme="minorEastAsia" w:cstheme="minorBidi"/>
          <w:szCs w:val="22"/>
        </w:rPr>
      </w:pPr>
      <w:r>
        <w:fldChar w:fldCharType="begin"/>
      </w:r>
      <w:r>
        <w:instrText xml:space="preserve"> HYPERLINK \l "_Toc207978099" </w:instrText>
      </w:r>
      <w:r>
        <w:fldChar w:fldCharType="separate"/>
      </w:r>
      <w:r>
        <w:rPr>
          <w:rStyle w:val="32"/>
          <w14:scene3d w14:prst="orthographicFront">
            <w14:lightRig w14:rig="threePt" w14:dir="t">
              <w14:rot w14:lat="0" w14:lon="0" w14:rev="0"/>
            </w14:lightRig>
          </w14:scene3d>
        </w:rPr>
        <w:t xml:space="preserve">6.3 </w:t>
      </w:r>
      <w:r>
        <w:rPr>
          <w:rStyle w:val="32"/>
        </w:rPr>
        <w:t xml:space="preserve"> 微生物控制</w:t>
      </w:r>
      <w:r>
        <w:tab/>
      </w:r>
      <w:r>
        <w:fldChar w:fldCharType="begin"/>
      </w:r>
      <w:r>
        <w:instrText xml:space="preserve"> PAGEREF _Toc207978099 \h </w:instrText>
      </w:r>
      <w:r>
        <w:fldChar w:fldCharType="separate"/>
      </w:r>
      <w:r>
        <w:t>3</w:t>
      </w:r>
      <w:r>
        <w:fldChar w:fldCharType="end"/>
      </w:r>
      <w:r>
        <w:fldChar w:fldCharType="end"/>
      </w:r>
    </w:p>
    <w:p w14:paraId="25D79856">
      <w:pPr>
        <w:pStyle w:val="19"/>
        <w:tabs>
          <w:tab w:val="right" w:leader="dot" w:pos="9344"/>
        </w:tabs>
        <w:rPr>
          <w:rFonts w:asciiTheme="minorHAnsi" w:hAnsiTheme="minorHAnsi" w:eastAsiaTheme="minorEastAsia" w:cstheme="minorBidi"/>
          <w:szCs w:val="22"/>
        </w:rPr>
      </w:pPr>
      <w:r>
        <w:fldChar w:fldCharType="begin"/>
      </w:r>
      <w:r>
        <w:instrText xml:space="preserve"> HYPERLINK \l "_Toc207978100" </w:instrText>
      </w:r>
      <w:r>
        <w:fldChar w:fldCharType="separate"/>
      </w:r>
      <w:r>
        <w:rPr>
          <w:rStyle w:val="32"/>
        </w:rPr>
        <w:t>7  卸载与交接要求</w:t>
      </w:r>
      <w:r>
        <w:tab/>
      </w:r>
      <w:r>
        <w:fldChar w:fldCharType="begin"/>
      </w:r>
      <w:r>
        <w:instrText xml:space="preserve"> PAGEREF _Toc207978100 \h </w:instrText>
      </w:r>
      <w:r>
        <w:fldChar w:fldCharType="separate"/>
      </w:r>
      <w:r>
        <w:t>3</w:t>
      </w:r>
      <w:r>
        <w:fldChar w:fldCharType="end"/>
      </w:r>
      <w:r>
        <w:fldChar w:fldCharType="end"/>
      </w:r>
    </w:p>
    <w:p w14:paraId="7718E2A9">
      <w:pPr>
        <w:pStyle w:val="24"/>
        <w:rPr>
          <w:rFonts w:asciiTheme="minorHAnsi" w:hAnsiTheme="minorHAnsi" w:eastAsiaTheme="minorEastAsia" w:cstheme="minorBidi"/>
          <w:szCs w:val="22"/>
        </w:rPr>
      </w:pPr>
      <w:r>
        <w:fldChar w:fldCharType="begin"/>
      </w:r>
      <w:r>
        <w:instrText xml:space="preserve"> HYPERLINK \l "_Toc207978101" </w:instrText>
      </w:r>
      <w:r>
        <w:fldChar w:fldCharType="separate"/>
      </w:r>
      <w:r>
        <w:rPr>
          <w:rStyle w:val="32"/>
          <w14:scene3d w14:prst="orthographicFront">
            <w14:lightRig w14:rig="threePt" w14:dir="t">
              <w14:rot w14:lat="0" w14:lon="0" w14:rev="0"/>
            </w14:lightRig>
          </w14:scene3d>
        </w:rPr>
        <w:t xml:space="preserve">7.1 </w:t>
      </w:r>
      <w:r>
        <w:rPr>
          <w:rStyle w:val="32"/>
        </w:rPr>
        <w:t xml:space="preserve"> 鱼生用鱼装卸操作及交接验证</w:t>
      </w:r>
      <w:r>
        <w:tab/>
      </w:r>
      <w:r>
        <w:fldChar w:fldCharType="begin"/>
      </w:r>
      <w:r>
        <w:instrText xml:space="preserve"> PAGEREF _Toc207978101 \h </w:instrText>
      </w:r>
      <w:r>
        <w:fldChar w:fldCharType="separate"/>
      </w:r>
      <w:r>
        <w:t>3</w:t>
      </w:r>
      <w:r>
        <w:fldChar w:fldCharType="end"/>
      </w:r>
      <w:r>
        <w:fldChar w:fldCharType="end"/>
      </w:r>
    </w:p>
    <w:p w14:paraId="679D07A3">
      <w:pPr>
        <w:pStyle w:val="24"/>
        <w:rPr>
          <w:rFonts w:asciiTheme="minorHAnsi" w:hAnsiTheme="minorHAnsi" w:eastAsiaTheme="minorEastAsia" w:cstheme="minorBidi"/>
          <w:szCs w:val="22"/>
        </w:rPr>
      </w:pPr>
      <w:r>
        <w:fldChar w:fldCharType="begin"/>
      </w:r>
      <w:r>
        <w:instrText xml:space="preserve"> HYPERLINK \l "_Toc207978102" </w:instrText>
      </w:r>
      <w:r>
        <w:fldChar w:fldCharType="separate"/>
      </w:r>
      <w:r>
        <w:rPr>
          <w:rStyle w:val="32"/>
          <w14:scene3d w14:prst="orthographicFront">
            <w14:lightRig w14:rig="threePt" w14:dir="t">
              <w14:rot w14:lat="0" w14:lon="0" w14:rev="0"/>
            </w14:lightRig>
          </w14:scene3d>
        </w:rPr>
        <w:t xml:space="preserve">7.2 </w:t>
      </w:r>
      <w:r>
        <w:rPr>
          <w:rStyle w:val="32"/>
        </w:rPr>
        <w:t xml:space="preserve"> 特色辅料装卸操作及交接验证</w:t>
      </w:r>
      <w:r>
        <w:tab/>
      </w:r>
      <w:r>
        <w:fldChar w:fldCharType="begin"/>
      </w:r>
      <w:r>
        <w:instrText xml:space="preserve"> PAGEREF _Toc207978102 \h </w:instrText>
      </w:r>
      <w:r>
        <w:fldChar w:fldCharType="separate"/>
      </w:r>
      <w:r>
        <w:t>3</w:t>
      </w:r>
      <w:r>
        <w:fldChar w:fldCharType="end"/>
      </w:r>
      <w:r>
        <w:fldChar w:fldCharType="end"/>
      </w:r>
    </w:p>
    <w:p w14:paraId="12A03B30">
      <w:pPr>
        <w:pStyle w:val="19"/>
        <w:tabs>
          <w:tab w:val="right" w:leader="dot" w:pos="9344"/>
        </w:tabs>
        <w:rPr>
          <w:rFonts w:asciiTheme="minorHAnsi" w:hAnsiTheme="minorHAnsi" w:eastAsiaTheme="minorEastAsia" w:cstheme="minorBidi"/>
          <w:szCs w:val="22"/>
        </w:rPr>
      </w:pPr>
      <w:r>
        <w:fldChar w:fldCharType="begin"/>
      </w:r>
      <w:r>
        <w:instrText xml:space="preserve"> HYPERLINK \l "_Toc207978103" </w:instrText>
      </w:r>
      <w:r>
        <w:fldChar w:fldCharType="separate"/>
      </w:r>
      <w:r>
        <w:rPr>
          <w:rStyle w:val="32"/>
        </w:rPr>
        <w:t>8  应急处理</w:t>
      </w:r>
      <w:r>
        <w:tab/>
      </w:r>
      <w:r>
        <w:fldChar w:fldCharType="begin"/>
      </w:r>
      <w:r>
        <w:instrText xml:space="preserve"> PAGEREF _Toc207978103 \h </w:instrText>
      </w:r>
      <w:r>
        <w:fldChar w:fldCharType="separate"/>
      </w:r>
      <w:r>
        <w:t>3</w:t>
      </w:r>
      <w:r>
        <w:fldChar w:fldCharType="end"/>
      </w:r>
      <w:r>
        <w:fldChar w:fldCharType="end"/>
      </w:r>
    </w:p>
    <w:p w14:paraId="2E180282">
      <w:pPr>
        <w:pStyle w:val="24"/>
        <w:rPr>
          <w:rFonts w:asciiTheme="minorHAnsi" w:hAnsiTheme="minorHAnsi" w:eastAsiaTheme="minorEastAsia" w:cstheme="minorBidi"/>
          <w:szCs w:val="22"/>
        </w:rPr>
      </w:pPr>
      <w:r>
        <w:fldChar w:fldCharType="begin"/>
      </w:r>
      <w:r>
        <w:instrText xml:space="preserve"> HYPERLINK \l "_Toc207978104" </w:instrText>
      </w:r>
      <w:r>
        <w:fldChar w:fldCharType="separate"/>
      </w:r>
      <w:r>
        <w:rPr>
          <w:rStyle w:val="32"/>
          <w14:scene3d w14:prst="orthographicFront">
            <w14:lightRig w14:rig="threePt" w14:dir="t">
              <w14:rot w14:lat="0" w14:lon="0" w14:rev="0"/>
            </w14:lightRig>
          </w14:scene3d>
        </w:rPr>
        <w:t xml:space="preserve">8.1 </w:t>
      </w:r>
      <w:r>
        <w:rPr>
          <w:rStyle w:val="32"/>
        </w:rPr>
        <w:t xml:space="preserve"> 鱼类应激反应处置</w:t>
      </w:r>
      <w:r>
        <w:tab/>
      </w:r>
      <w:r>
        <w:fldChar w:fldCharType="begin"/>
      </w:r>
      <w:r>
        <w:instrText xml:space="preserve"> PAGEREF _Toc207978104 \h </w:instrText>
      </w:r>
      <w:r>
        <w:fldChar w:fldCharType="separate"/>
      </w:r>
      <w:r>
        <w:t>3</w:t>
      </w:r>
      <w:r>
        <w:fldChar w:fldCharType="end"/>
      </w:r>
      <w:r>
        <w:fldChar w:fldCharType="end"/>
      </w:r>
    </w:p>
    <w:p w14:paraId="39B0EFFA">
      <w:pPr>
        <w:pStyle w:val="24"/>
        <w:rPr>
          <w:rFonts w:asciiTheme="minorHAnsi" w:hAnsiTheme="minorHAnsi" w:eastAsiaTheme="minorEastAsia" w:cstheme="minorBidi"/>
          <w:szCs w:val="22"/>
        </w:rPr>
      </w:pPr>
      <w:r>
        <w:fldChar w:fldCharType="begin"/>
      </w:r>
      <w:r>
        <w:instrText xml:space="preserve"> HYPERLINK \l "_Toc207978105" </w:instrText>
      </w:r>
      <w:r>
        <w:fldChar w:fldCharType="separate"/>
      </w:r>
      <w:r>
        <w:rPr>
          <w:rStyle w:val="32"/>
          <w14:scene3d w14:prst="orthographicFront">
            <w14:lightRig w14:rig="threePt" w14:dir="t">
              <w14:rot w14:lat="0" w14:lon="0" w14:rev="0"/>
            </w14:lightRig>
          </w14:scene3d>
        </w:rPr>
        <w:t xml:space="preserve">8.2 </w:t>
      </w:r>
      <w:r>
        <w:rPr>
          <w:rStyle w:val="32"/>
        </w:rPr>
        <w:t xml:space="preserve"> 鱼生用鱼运输延误预案</w:t>
      </w:r>
      <w:r>
        <w:tab/>
      </w:r>
      <w:r>
        <w:fldChar w:fldCharType="begin"/>
      </w:r>
      <w:r>
        <w:instrText xml:space="preserve"> PAGEREF _Toc207978105 \h </w:instrText>
      </w:r>
      <w:r>
        <w:fldChar w:fldCharType="separate"/>
      </w:r>
      <w:r>
        <w:t>3</w:t>
      </w:r>
      <w:r>
        <w:fldChar w:fldCharType="end"/>
      </w:r>
      <w:r>
        <w:fldChar w:fldCharType="end"/>
      </w:r>
    </w:p>
    <w:p w14:paraId="3BE31C45">
      <w:pPr>
        <w:pStyle w:val="19"/>
        <w:tabs>
          <w:tab w:val="right" w:leader="dot" w:pos="9344"/>
        </w:tabs>
        <w:rPr>
          <w:rFonts w:asciiTheme="minorHAnsi" w:hAnsiTheme="minorHAnsi" w:eastAsiaTheme="minorEastAsia" w:cstheme="minorBidi"/>
          <w:szCs w:val="22"/>
        </w:rPr>
      </w:pPr>
      <w:r>
        <w:fldChar w:fldCharType="begin"/>
      </w:r>
      <w:r>
        <w:instrText xml:space="preserve"> HYPERLINK \l "_Toc207978106" </w:instrText>
      </w:r>
      <w:r>
        <w:fldChar w:fldCharType="separate"/>
      </w:r>
      <w:r>
        <w:rPr>
          <w:rStyle w:val="32"/>
        </w:rPr>
        <w:t>9  记录</w:t>
      </w:r>
      <w:r>
        <w:tab/>
      </w:r>
      <w:r>
        <w:fldChar w:fldCharType="begin"/>
      </w:r>
      <w:r>
        <w:instrText xml:space="preserve"> PAGEREF _Toc207978106 \h </w:instrText>
      </w:r>
      <w:r>
        <w:fldChar w:fldCharType="separate"/>
      </w:r>
      <w:r>
        <w:t>3</w:t>
      </w:r>
      <w:r>
        <w:fldChar w:fldCharType="end"/>
      </w:r>
      <w:r>
        <w:fldChar w:fldCharType="end"/>
      </w:r>
    </w:p>
    <w:p w14:paraId="4EE14AE9">
      <w:pPr>
        <w:pStyle w:val="19"/>
        <w:tabs>
          <w:tab w:val="right" w:leader="dot" w:pos="9344"/>
        </w:tabs>
        <w:rPr>
          <w:rFonts w:asciiTheme="minorHAnsi" w:hAnsiTheme="minorHAnsi" w:eastAsiaTheme="minorEastAsia" w:cstheme="minorBidi"/>
          <w:szCs w:val="22"/>
        </w:rPr>
      </w:pPr>
      <w:r>
        <w:fldChar w:fldCharType="begin"/>
      </w:r>
      <w:r>
        <w:instrText xml:space="preserve"> HYPERLINK \l "_Toc207978107" </w:instrText>
      </w:r>
      <w:r>
        <w:fldChar w:fldCharType="separate"/>
      </w:r>
      <w:r>
        <w:rPr>
          <w:rStyle w:val="32"/>
        </w:rPr>
        <w:t>附录A（资料性）  横县鱼生用鱼运输信息记录表</w:t>
      </w:r>
      <w:r>
        <w:tab/>
      </w:r>
      <w:r>
        <w:fldChar w:fldCharType="begin"/>
      </w:r>
      <w:r>
        <w:instrText xml:space="preserve"> PAGEREF _Toc207978107 \h </w:instrText>
      </w:r>
      <w:r>
        <w:fldChar w:fldCharType="separate"/>
      </w:r>
      <w:r>
        <w:t>4</w:t>
      </w:r>
      <w:r>
        <w:fldChar w:fldCharType="end"/>
      </w:r>
      <w:r>
        <w:fldChar w:fldCharType="end"/>
      </w:r>
    </w:p>
    <w:p w14:paraId="217EB407">
      <w:pPr>
        <w:pStyle w:val="19"/>
        <w:tabs>
          <w:tab w:val="right" w:leader="dot" w:pos="9344"/>
        </w:tabs>
        <w:rPr>
          <w:rFonts w:asciiTheme="minorHAnsi" w:hAnsiTheme="minorHAnsi" w:eastAsiaTheme="minorEastAsia" w:cstheme="minorBidi"/>
          <w:szCs w:val="22"/>
        </w:rPr>
      </w:pPr>
      <w:r>
        <w:fldChar w:fldCharType="begin"/>
      </w:r>
      <w:r>
        <w:instrText xml:space="preserve"> HYPERLINK \l "_Toc207978108" </w:instrText>
      </w:r>
      <w:r>
        <w:fldChar w:fldCharType="separate"/>
      </w:r>
      <w:r>
        <w:rPr>
          <w:rStyle w:val="32"/>
        </w:rPr>
        <w:t>参考文献</w:t>
      </w:r>
      <w:r>
        <w:tab/>
      </w:r>
      <w:r>
        <w:fldChar w:fldCharType="begin"/>
      </w:r>
      <w:r>
        <w:instrText xml:space="preserve"> PAGEREF _Toc207978108 \h </w:instrText>
      </w:r>
      <w:r>
        <w:fldChar w:fldCharType="separate"/>
      </w:r>
      <w:r>
        <w:t>5</w:t>
      </w:r>
      <w:r>
        <w:fldChar w:fldCharType="end"/>
      </w:r>
      <w:r>
        <w:fldChar w:fldCharType="end"/>
      </w:r>
    </w:p>
    <w:p w14:paraId="7A26D8DF">
      <w:pPr>
        <w:pStyle w:val="91"/>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8"/>
    <w:p w14:paraId="3D68E64F">
      <w:pPr>
        <w:pStyle w:val="89"/>
        <w:spacing w:before="900" w:after="360"/>
      </w:pPr>
      <w:bookmarkStart w:id="23" w:name="_Toc207978082"/>
      <w:bookmarkStart w:id="24" w:name="BookMark2"/>
      <w:r>
        <w:rPr>
          <w:spacing w:val="320"/>
        </w:rPr>
        <w:t>前</w:t>
      </w:r>
      <w:r>
        <w:t>言</w:t>
      </w:r>
      <w:bookmarkEnd w:id="19"/>
      <w:bookmarkEnd w:id="20"/>
      <w:bookmarkEnd w:id="21"/>
      <w:bookmarkEnd w:id="22"/>
      <w:bookmarkEnd w:id="23"/>
    </w:p>
    <w:p w14:paraId="16716CCA">
      <w:pPr>
        <w:pStyle w:val="56"/>
        <w:ind w:firstLine="420"/>
      </w:pPr>
      <w:r>
        <w:rPr>
          <w:rFonts w:hint="eastAsia"/>
        </w:rPr>
        <w:t>本文件参照GB/T 1.1—2020《标准化工作导则  第1部分：标准化文件的结构和起草规则》的规定起草。</w:t>
      </w:r>
    </w:p>
    <w:p w14:paraId="44591F0F">
      <w:pPr>
        <w:pStyle w:val="56"/>
        <w:ind w:firstLine="420"/>
        <w:rPr>
          <w:rFonts w:ascii="Times New Roman"/>
          <w:snapToGrid w:val="0"/>
          <w:color w:val="000000"/>
        </w:rPr>
      </w:pPr>
      <w:r>
        <w:rPr>
          <w:rFonts w:ascii="Times New Roman"/>
          <w:snapToGrid w:val="0"/>
          <w:color w:val="000000"/>
        </w:rPr>
        <w:t>请注意本文件的某些内容可能涉及专利。本文件的发布机构不承担识别专利的责任。</w:t>
      </w:r>
    </w:p>
    <w:p w14:paraId="4A01F3F7">
      <w:pPr>
        <w:pStyle w:val="56"/>
        <w:ind w:firstLine="420"/>
        <w:rPr>
          <w:rFonts w:ascii="Times New Roman"/>
          <w:snapToGrid w:val="0"/>
          <w:color w:val="000000"/>
        </w:rPr>
      </w:pPr>
      <w:r>
        <w:rPr>
          <w:rFonts w:ascii="Times New Roman"/>
          <w:snapToGrid w:val="0"/>
          <w:color w:val="000000"/>
        </w:rPr>
        <w:t>本文件是</w:t>
      </w:r>
      <w:r>
        <w:rPr>
          <w:rFonts w:hAnsi="宋体"/>
          <w:snapToGrid w:val="0"/>
          <w:color w:val="000000"/>
        </w:rPr>
        <w:t>T/GXYYXH 0001</w:t>
      </w:r>
      <w:r>
        <w:rPr>
          <w:rFonts w:ascii="Times New Roman"/>
          <w:snapToGrid w:val="0"/>
          <w:color w:val="000000"/>
        </w:rPr>
        <w:t>《横县鱼生全链条管理规范》的第</w:t>
      </w:r>
      <w:r>
        <w:rPr>
          <w:rFonts w:hAnsi="宋体"/>
          <w:snapToGrid w:val="0"/>
          <w:color w:val="000000"/>
          <w:spacing w:val="-2"/>
        </w:rPr>
        <w:t>2</w:t>
      </w:r>
      <w:r>
        <w:rPr>
          <w:rFonts w:ascii="Times New Roman"/>
          <w:snapToGrid w:val="0"/>
          <w:color w:val="000000"/>
        </w:rPr>
        <w:t>部分</w:t>
      </w:r>
      <w:r>
        <w:rPr>
          <w:rFonts w:hAnsi="宋体"/>
          <w:snapToGrid w:val="0"/>
          <w:color w:val="000000"/>
        </w:rPr>
        <w:t>。T/GXYYXH 0001已经</w:t>
      </w:r>
      <w:r>
        <w:rPr>
          <w:rFonts w:ascii="Times New Roman"/>
          <w:snapToGrid w:val="0"/>
          <w:color w:val="000000"/>
        </w:rPr>
        <w:t>发布了以下</w:t>
      </w:r>
      <w:r>
        <w:rPr>
          <w:rFonts w:ascii="Times New Roman"/>
          <w:snapToGrid w:val="0"/>
          <w:color w:val="000000"/>
          <w:spacing w:val="-13"/>
        </w:rPr>
        <w:t>部分：</w:t>
      </w:r>
    </w:p>
    <w:p w14:paraId="0FE244DD">
      <w:pPr>
        <w:pStyle w:val="56"/>
        <w:ind w:firstLine="404"/>
        <w:rPr>
          <w:rFonts w:hAnsi="宋体"/>
          <w:snapToGrid w:val="0"/>
          <w:color w:val="000000"/>
        </w:rPr>
      </w:pPr>
      <w:r>
        <w:rPr>
          <w:rFonts w:hAnsi="宋体"/>
          <w:snapToGrid w:val="0"/>
          <w:color w:val="000000"/>
          <w:spacing w:val="-4"/>
        </w:rPr>
        <w:t>——第1部分：养殖</w:t>
      </w:r>
      <w:r>
        <w:rPr>
          <w:rFonts w:hint="eastAsia" w:hAnsi="宋体"/>
          <w:snapToGrid w:val="0"/>
          <w:color w:val="000000"/>
          <w:spacing w:val="-4"/>
        </w:rPr>
        <w:t>；</w:t>
      </w:r>
    </w:p>
    <w:p w14:paraId="2E96DFA9">
      <w:pPr>
        <w:pStyle w:val="56"/>
        <w:ind w:firstLine="412"/>
        <w:rPr>
          <w:rFonts w:hAnsi="宋体"/>
          <w:snapToGrid w:val="0"/>
          <w:color w:val="000000"/>
        </w:rPr>
      </w:pPr>
      <w:r>
        <w:rPr>
          <w:rFonts w:hAnsi="宋体"/>
          <w:snapToGrid w:val="0"/>
          <w:color w:val="000000"/>
          <w:spacing w:val="-2"/>
        </w:rPr>
        <w:t>——第2部分：运输</w:t>
      </w:r>
      <w:r>
        <w:rPr>
          <w:rFonts w:hint="eastAsia" w:hAnsi="宋体"/>
          <w:snapToGrid w:val="0"/>
          <w:color w:val="000000"/>
          <w:spacing w:val="-2"/>
        </w:rPr>
        <w:t>；</w:t>
      </w:r>
    </w:p>
    <w:p w14:paraId="61504BC9">
      <w:pPr>
        <w:pStyle w:val="56"/>
        <w:ind w:firstLine="412"/>
        <w:rPr>
          <w:rFonts w:hAnsi="宋体"/>
          <w:snapToGrid w:val="0"/>
          <w:color w:val="000000"/>
        </w:rPr>
      </w:pPr>
      <w:r>
        <w:rPr>
          <w:rFonts w:hAnsi="宋体"/>
          <w:snapToGrid w:val="0"/>
          <w:color w:val="000000"/>
          <w:spacing w:val="-2"/>
          <w:lang w:eastAsia="en-US"/>
        </w:rPr>
        <w:t>——第3部分：加工制作</w:t>
      </w:r>
      <w:r>
        <w:rPr>
          <w:rFonts w:hint="eastAsia" w:hAnsi="宋体"/>
          <w:snapToGrid w:val="0"/>
          <w:color w:val="000000"/>
          <w:spacing w:val="-2"/>
        </w:rPr>
        <w:t>；</w:t>
      </w:r>
    </w:p>
    <w:p w14:paraId="7AF0065C">
      <w:pPr>
        <w:pStyle w:val="56"/>
        <w:ind w:firstLine="412"/>
        <w:rPr>
          <w:rFonts w:hAnsi="宋体"/>
          <w:snapToGrid w:val="0"/>
          <w:color w:val="000000"/>
        </w:rPr>
      </w:pPr>
      <w:r>
        <w:rPr>
          <w:rFonts w:hAnsi="宋体"/>
          <w:snapToGrid w:val="0"/>
          <w:color w:val="000000"/>
          <w:spacing w:val="-2"/>
        </w:rPr>
        <w:t>——第4部分：餐饮服务</w:t>
      </w:r>
      <w:r>
        <w:rPr>
          <w:rFonts w:hint="eastAsia" w:hAnsi="宋体"/>
          <w:snapToGrid w:val="0"/>
          <w:color w:val="000000"/>
          <w:spacing w:val="-2"/>
        </w:rPr>
        <w:t>；</w:t>
      </w:r>
    </w:p>
    <w:p w14:paraId="2391ADD3">
      <w:pPr>
        <w:pStyle w:val="56"/>
        <w:ind w:firstLine="408"/>
        <w:rPr>
          <w:rFonts w:hAnsi="宋体"/>
          <w:snapToGrid w:val="0"/>
          <w:color w:val="000000"/>
        </w:rPr>
      </w:pPr>
      <w:r>
        <w:rPr>
          <w:rFonts w:hAnsi="宋体"/>
          <w:snapToGrid w:val="0"/>
          <w:color w:val="000000"/>
          <w:spacing w:val="-3"/>
        </w:rPr>
        <w:t>——第5部分：供应链管理</w:t>
      </w:r>
      <w:r>
        <w:rPr>
          <w:rFonts w:hint="eastAsia" w:hAnsi="宋体"/>
          <w:snapToGrid w:val="0"/>
          <w:color w:val="000000"/>
          <w:spacing w:val="-3"/>
        </w:rPr>
        <w:t>；</w:t>
      </w:r>
    </w:p>
    <w:p w14:paraId="257470FC">
      <w:pPr>
        <w:pStyle w:val="56"/>
        <w:ind w:firstLine="428"/>
        <w:rPr>
          <w:rFonts w:hAnsi="宋体"/>
          <w:snapToGrid w:val="0"/>
          <w:color w:val="000000"/>
        </w:rPr>
      </w:pPr>
      <w:r>
        <w:rPr>
          <w:rFonts w:hAnsi="宋体"/>
          <w:snapToGrid w:val="0"/>
          <w:color w:val="000000"/>
          <w:spacing w:val="2"/>
        </w:rPr>
        <w:t>——第6部分：评价与认定。</w:t>
      </w:r>
    </w:p>
    <w:p w14:paraId="6099DEF6">
      <w:pPr>
        <w:pStyle w:val="56"/>
        <w:ind w:firstLine="404"/>
        <w:rPr>
          <w:rFonts w:ascii="Times New Roman"/>
          <w:snapToGrid w:val="0"/>
          <w:color w:val="000000"/>
          <w:spacing w:val="-4"/>
          <w:szCs w:val="21"/>
        </w:rPr>
      </w:pPr>
      <w:r>
        <w:rPr>
          <w:rFonts w:hint="eastAsia" w:ascii="Times New Roman"/>
          <w:snapToGrid w:val="0"/>
          <w:color w:val="000000"/>
          <w:spacing w:val="-4"/>
          <w:szCs w:val="21"/>
        </w:rPr>
        <w:t>本文件由横州市卫生健康局、横州市文化广电体育和旅游局、横州市农业农村局、横州市市场监督管理局、横州市经济贸易和信息化局指导。</w:t>
      </w:r>
    </w:p>
    <w:p w14:paraId="227EF9EA">
      <w:pPr>
        <w:pStyle w:val="56"/>
        <w:ind w:firstLine="404"/>
        <w:rPr>
          <w:rFonts w:ascii="Times New Roman"/>
          <w:snapToGrid w:val="0"/>
          <w:color w:val="000000"/>
          <w:spacing w:val="-4"/>
          <w:szCs w:val="21"/>
        </w:rPr>
      </w:pPr>
      <w:r>
        <w:rPr>
          <w:rFonts w:hint="eastAsia" w:ascii="Times New Roman"/>
          <w:snapToGrid w:val="0"/>
          <w:color w:val="000000"/>
          <w:spacing w:val="-4"/>
          <w:szCs w:val="21"/>
        </w:rPr>
        <w:t>本文件由广西壮族自治区疾病预防控制局提出并宣贯。</w:t>
      </w:r>
    </w:p>
    <w:p w14:paraId="3836BA56">
      <w:pPr>
        <w:pStyle w:val="56"/>
        <w:ind w:firstLine="404"/>
        <w:rPr>
          <w:rFonts w:ascii="Times New Roman"/>
          <w:snapToGrid w:val="0"/>
          <w:color w:val="000000"/>
          <w:spacing w:val="-4"/>
          <w:szCs w:val="21"/>
        </w:rPr>
      </w:pPr>
      <w:r>
        <w:rPr>
          <w:rFonts w:hint="eastAsia" w:ascii="Times New Roman"/>
          <w:snapToGrid w:val="0"/>
          <w:color w:val="000000"/>
          <w:spacing w:val="-4"/>
          <w:szCs w:val="21"/>
        </w:rPr>
        <w:t>本文件由广西营养学会归口。</w:t>
      </w:r>
    </w:p>
    <w:p w14:paraId="1A6CCFEE">
      <w:pPr>
        <w:pStyle w:val="56"/>
        <w:ind w:firstLine="404"/>
        <w:rPr>
          <w:rFonts w:ascii="Times New Roman"/>
          <w:snapToGrid w:val="0"/>
          <w:color w:val="000000"/>
          <w:spacing w:val="-4"/>
          <w:szCs w:val="21"/>
        </w:rPr>
      </w:pPr>
      <w:r>
        <w:rPr>
          <w:rFonts w:hint="eastAsia" w:ascii="Times New Roman"/>
          <w:snapToGrid w:val="0"/>
          <w:color w:val="000000"/>
          <w:spacing w:val="-4"/>
          <w:szCs w:val="21"/>
        </w:rPr>
        <w:t>本文件起草单位：南宁市市场监督管理信息中心、广西营养学会、广西标准化协会、广西渔业协会、广西烹饪餐饮行业协会鱼生专业委员会、广西壮族自治区水产科学研究院、广西职业技术学院、广西农业科学院农产品加工研究所、广西中医药大学、广西中医药研究院、南宁市水产畜牧兽医技术推广站、横州市职业技术学校、横州市综合检验检测中心、广西农垦明阳农场有限公司渔业养殖场分公司、广西桂之渔农业科技有限公司、南宁市金渔水产有限公司、桂林聚龙潭生态渔业有限公司、广西桂江京盛生态养殖有限公司、横县裕通水果种植家庭农场有限公司、南宁市横县鸿翔泉水鱼生态养殖有限公司、广西南宁福海水产养殖有限公司、广西中科渔业服务有限公司、广西有念花开餐饮管理有限公司、广西余师傅餐饮有限公司、横州安仔江鱼鱼生店、横州市峦城镇淳意酒店、横县景园春酒店、横州市横州国际大酒店有限责任公司、横州市南乡镇丰润山庄、横县六景镇善霖食府、横县余艺鱼生店、广西三个椰子餐饮管理有限公司、南宁市元泉环保科技有限公司、横州市众海水产品有限公司、南宁市经开区小海马食品批发中心、广西南宁渔之家水产服务有限公司、广西好渔顺商贸有限公司。</w:t>
      </w:r>
    </w:p>
    <w:p w14:paraId="4D60519F">
      <w:pPr>
        <w:pStyle w:val="56"/>
        <w:ind w:firstLine="404"/>
      </w:pPr>
      <w:r>
        <w:rPr>
          <w:rFonts w:ascii="Times New Roman"/>
          <w:snapToGrid w:val="0"/>
          <w:color w:val="000000"/>
          <w:spacing w:val="-4"/>
          <w:szCs w:val="21"/>
        </w:rPr>
        <w:t>本文件主要起草人：</w:t>
      </w:r>
    </w:p>
    <w:p w14:paraId="2A116848">
      <w:pPr>
        <w:pStyle w:val="56"/>
        <w:ind w:firstLine="420"/>
      </w:pPr>
    </w:p>
    <w:p w14:paraId="21DC1E0B">
      <w:pPr>
        <w:pStyle w:val="56"/>
        <w:ind w:firstLine="420"/>
      </w:pPr>
    </w:p>
    <w:p w14:paraId="416C6C39">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4"/>
    <w:p w14:paraId="68611AE7">
      <w:pPr>
        <w:pStyle w:val="89"/>
        <w:spacing w:after="360"/>
      </w:pPr>
      <w:bookmarkStart w:id="25" w:name="_Toc207978083"/>
      <w:bookmarkStart w:id="26" w:name="_Toc207213860"/>
      <w:bookmarkStart w:id="27" w:name="_Toc207294305"/>
      <w:bookmarkStart w:id="28" w:name="_Toc206588606"/>
      <w:bookmarkStart w:id="29" w:name="_Toc207285725"/>
      <w:bookmarkStart w:id="30" w:name="BookMark3"/>
      <w:r>
        <w:rPr>
          <w:spacing w:val="320"/>
        </w:rPr>
        <w:t>引</w:t>
      </w:r>
      <w:r>
        <w:t>言</w:t>
      </w:r>
      <w:bookmarkEnd w:id="25"/>
      <w:bookmarkEnd w:id="26"/>
      <w:bookmarkEnd w:id="27"/>
      <w:bookmarkEnd w:id="28"/>
      <w:bookmarkEnd w:id="29"/>
    </w:p>
    <w:p w14:paraId="45C08642">
      <w:pPr>
        <w:pStyle w:val="56"/>
        <w:ind w:firstLine="420"/>
      </w:pPr>
      <w:r>
        <w:rPr>
          <w:rFonts w:hint="eastAsia"/>
        </w:rPr>
        <w:t>横县鱼生作为广西十大经典名菜之一，其制作技艺历经千余年的传承发展，于2010年入选广西壮族自治区级非物质文化遗产代表性项目名录。该传统美食以“市菜”美誉闻名岭南，其独特魅力不仅体现在选料考究、刀工精湛等工艺特征上，更承载着横县特有的饮食文化与历史记忆。然而，随着产业规模的扩大和消费需求的增长，传统制作工艺的标准化不足、全链条质量管控体系缺失等问题逐渐显现，亟需建立科学规范的管理体系。</w:t>
      </w:r>
    </w:p>
    <w:p w14:paraId="6E19865E">
      <w:pPr>
        <w:pStyle w:val="56"/>
        <w:ind w:firstLine="420"/>
      </w:pPr>
      <w:r>
        <w:rPr>
          <w:rFonts w:hint="eastAsia"/>
        </w:rPr>
        <w:t>为贯彻落实《中华人民共和国食品安全法》《广西壮族自治区食品安全条例》等法规要求，促进非遗技艺活态传承与现代化管理的有机融合，在广西自治区疾病预防控制局的专业指导下，广西营养学会组织编制《横县鱼生全链条管理规范》团体标准。本文件的制定旨在实现以下目标：（1）构建覆盖“从养殖到餐桌”的全过程质量安全控制体系；（2）推动传统工艺与现代食品安全要求的有效衔接；（3）促进产业标准化、规模化发展；（4）保障消费者健康权益与饮食文化体验。</w:t>
      </w:r>
    </w:p>
    <w:p w14:paraId="10531CA0">
      <w:pPr>
        <w:pStyle w:val="56"/>
        <w:ind w:firstLine="420"/>
      </w:pPr>
      <w:r>
        <w:rPr>
          <w:rFonts w:hint="eastAsia"/>
        </w:rPr>
        <w:t>T/GXYYXH XXXX《横县鱼生全链条管理规范》根据管理环节拟由六个部分组成。</w:t>
      </w:r>
    </w:p>
    <w:p w14:paraId="7E18AC1F">
      <w:pPr>
        <w:pStyle w:val="132"/>
      </w:pPr>
      <w:r>
        <w:rPr>
          <w:rFonts w:hint="eastAsia"/>
        </w:rPr>
        <w:t>第1部分：养殖。目的在于规范横县鱼生用鱼的养殖环境、养殖技术，确保从源头控制产品质量安全。</w:t>
      </w:r>
    </w:p>
    <w:p w14:paraId="59FE5E33">
      <w:pPr>
        <w:pStyle w:val="132"/>
      </w:pPr>
      <w:r>
        <w:rPr>
          <w:rFonts w:hint="eastAsia"/>
        </w:rPr>
        <w:t>第2部分：运输。目的在于规范从横县鱼生原料运输方式和操作要求的管理，确保原料安全卫生。</w:t>
      </w:r>
    </w:p>
    <w:p w14:paraId="237BCD18">
      <w:pPr>
        <w:pStyle w:val="132"/>
      </w:pPr>
      <w:r>
        <w:rPr>
          <w:rFonts w:hint="eastAsia"/>
        </w:rPr>
        <w:t>第3部分：加工制作。目的在于规范横县鱼生加工制作场所建设，加强加工人员制作过程技能与卫生规范，确保制作过程质量安全。</w:t>
      </w:r>
    </w:p>
    <w:p w14:paraId="0D7A8A67">
      <w:pPr>
        <w:pStyle w:val="132"/>
      </w:pPr>
      <w:r>
        <w:rPr>
          <w:rFonts w:hint="eastAsia"/>
        </w:rPr>
        <w:t>第4部分：餐饮服务。目的在于规范横县鱼生餐饮过程服务要求，宣传横县鱼生历史文化及养生文化，确保消费者餐饮体验。</w:t>
      </w:r>
    </w:p>
    <w:p w14:paraId="6EF05A35">
      <w:pPr>
        <w:pStyle w:val="132"/>
      </w:pPr>
      <w:r>
        <w:rPr>
          <w:rFonts w:hint="eastAsia"/>
        </w:rPr>
        <w:t>第5部分：供应链管理。目的在于规范横县鱼生原料从采购到餐饮环节全过程供应管理，确保原料可追溯性。</w:t>
      </w:r>
    </w:p>
    <w:p w14:paraId="0C30EA2C">
      <w:pPr>
        <w:pStyle w:val="132"/>
      </w:pPr>
      <w:r>
        <w:rPr>
          <w:rFonts w:hint="eastAsia"/>
        </w:rPr>
        <w:t>第6部分：评价与认定。目的在于评价认定横县鱼生养殖、供应链与餐饮标准化示范单位，推动横县鱼生产业高质量发展。</w:t>
      </w:r>
    </w:p>
    <w:p w14:paraId="438FD8BC">
      <w:pPr>
        <w:pStyle w:val="56"/>
        <w:ind w:firstLine="420"/>
      </w:pPr>
    </w:p>
    <w:p w14:paraId="215D0191">
      <w:pPr>
        <w:pStyle w:val="56"/>
        <w:ind w:firstLine="420"/>
      </w:pPr>
    </w:p>
    <w:p w14:paraId="782D4958">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30"/>
    <w:p w14:paraId="5FB13410">
      <w:pPr>
        <w:spacing w:line="20" w:lineRule="exact"/>
        <w:jc w:val="center"/>
        <w:rPr>
          <w:rFonts w:ascii="黑体" w:hAnsi="黑体" w:eastAsia="黑体"/>
          <w:sz w:val="32"/>
          <w:szCs w:val="32"/>
        </w:rPr>
      </w:pPr>
      <w:bookmarkStart w:id="31" w:name="BookMark4"/>
    </w:p>
    <w:p w14:paraId="38398627">
      <w:pPr>
        <w:spacing w:line="20" w:lineRule="exact"/>
        <w:jc w:val="center"/>
        <w:rPr>
          <w:rFonts w:ascii="黑体" w:hAnsi="黑体" w:eastAsia="黑体"/>
          <w:sz w:val="32"/>
          <w:szCs w:val="32"/>
        </w:rPr>
      </w:pPr>
    </w:p>
    <w:sdt>
      <w:sdtPr>
        <w:tag w:val="NEW_STAND_NAME"/>
        <w:id w:val="595910757"/>
        <w:lock w:val="sdtLocked"/>
        <w:placeholder>
          <w:docPart w:val="57861570DCD747B0BDB9B52BD48CE080"/>
        </w:placeholder>
      </w:sdtPr>
      <w:sdtContent>
        <w:p w14:paraId="1C6C5DE4">
          <w:pPr>
            <w:pStyle w:val="177"/>
            <w:spacing w:before="240" w:beforeLines="100" w:after="2" w:afterLines="1"/>
          </w:pPr>
          <w:bookmarkStart w:id="32" w:name="NEW_STAND_NAME"/>
          <w:r>
            <w:rPr>
              <w:rFonts w:hint="eastAsia"/>
            </w:rPr>
            <w:t>横县鱼生全链条管理规范</w:t>
          </w:r>
        </w:p>
        <w:p w14:paraId="68F3251A">
          <w:pPr>
            <w:pStyle w:val="177"/>
            <w:spacing w:before="2" w:beforeLines="1" w:after="680"/>
          </w:pPr>
          <w:r>
            <w:rPr>
              <w:rFonts w:hint="eastAsia"/>
            </w:rPr>
            <w:t>第</w:t>
          </w:r>
          <w:r>
            <w:t>2部分：运输</w:t>
          </w:r>
        </w:p>
      </w:sdtContent>
    </w:sdt>
    <w:bookmarkEnd w:id="32"/>
    <w:p w14:paraId="36BE322D">
      <w:pPr>
        <w:pStyle w:val="104"/>
        <w:spacing w:before="240" w:after="240"/>
      </w:pPr>
      <w:bookmarkStart w:id="33" w:name="_Toc26986771"/>
      <w:bookmarkStart w:id="34" w:name="_Toc207213861"/>
      <w:bookmarkStart w:id="35" w:name="_Toc17233325"/>
      <w:bookmarkStart w:id="36" w:name="_Toc26648465"/>
      <w:bookmarkStart w:id="37" w:name="_Toc17233333"/>
      <w:bookmarkStart w:id="38" w:name="_Toc26986530"/>
      <w:bookmarkStart w:id="39" w:name="_Toc24884211"/>
      <w:bookmarkStart w:id="40" w:name="_Toc206588607"/>
      <w:bookmarkStart w:id="41" w:name="_Toc207978084"/>
      <w:bookmarkStart w:id="42" w:name="_Toc24884218"/>
      <w:bookmarkStart w:id="43" w:name="_Toc97192964"/>
      <w:bookmarkStart w:id="44" w:name="_Toc26718930"/>
      <w:bookmarkStart w:id="45" w:name="_Toc207294306"/>
      <w:bookmarkStart w:id="46" w:name="_Toc207285726"/>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808CF23">
      <w:pPr>
        <w:pStyle w:val="56"/>
        <w:ind w:firstLine="420"/>
        <w:rPr>
          <w:rFonts w:ascii="Times New Roman"/>
          <w:snapToGrid w:val="0"/>
        </w:rPr>
      </w:pPr>
      <w:bookmarkStart w:id="47" w:name="_Toc24884219"/>
      <w:bookmarkStart w:id="48" w:name="_Toc17233334"/>
      <w:bookmarkStart w:id="49" w:name="_Toc26648466"/>
      <w:bookmarkStart w:id="50" w:name="_Toc24884212"/>
      <w:bookmarkStart w:id="51" w:name="_Toc17233326"/>
      <w:r>
        <w:rPr>
          <w:rFonts w:hint="eastAsia"/>
          <w:snapToGrid w:val="0"/>
        </w:rPr>
        <w:t>本文件规定了横县鱼生运输管理的基本要求、横县鱼生用鱼运输要求、特色辅料运输要求、卸载与交接要求、应急处理及记录等内容。</w:t>
      </w:r>
    </w:p>
    <w:p w14:paraId="7537789C">
      <w:pPr>
        <w:pStyle w:val="56"/>
        <w:ind w:firstLine="420"/>
      </w:pPr>
      <w:r>
        <w:rPr>
          <w:rFonts w:hint="eastAsia"/>
          <w:snapToGrid w:val="0"/>
          <w:szCs w:val="21"/>
        </w:rPr>
        <w:t>本文件适用于横县鱼生用鱼的运输管理，其他生食水产品运输可参照执行。</w:t>
      </w:r>
    </w:p>
    <w:p w14:paraId="59656FB7">
      <w:pPr>
        <w:pStyle w:val="104"/>
        <w:spacing w:before="240" w:after="240"/>
      </w:pPr>
      <w:bookmarkStart w:id="52" w:name="_Toc26718931"/>
      <w:bookmarkStart w:id="53" w:name="_Toc97192965"/>
      <w:bookmarkStart w:id="54" w:name="_Toc26986772"/>
      <w:bookmarkStart w:id="55" w:name="_Toc26986531"/>
      <w:bookmarkStart w:id="56" w:name="_Toc207285727"/>
      <w:bookmarkStart w:id="57" w:name="_Toc207294307"/>
      <w:bookmarkStart w:id="58" w:name="_Toc206588608"/>
      <w:bookmarkStart w:id="59" w:name="_Toc207213862"/>
      <w:bookmarkStart w:id="60" w:name="_Toc207978085"/>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93484769C51F47D2A63E8812D453B13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0FF8D7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0FE0100">
      <w:pPr>
        <w:pStyle w:val="56"/>
        <w:ind w:firstLine="420"/>
      </w:pPr>
      <w:r>
        <w:rPr>
          <w:rFonts w:hint="eastAsia"/>
        </w:rPr>
        <w:t>GB 2733  食品安全国家标准  鲜、冻动物性水产品</w:t>
      </w:r>
    </w:p>
    <w:p w14:paraId="49A3947E">
      <w:pPr>
        <w:pStyle w:val="56"/>
        <w:ind w:firstLine="420"/>
      </w:pPr>
      <w:r>
        <w:rPr>
          <w:rFonts w:hint="eastAsia"/>
        </w:rPr>
        <w:t>GB 11607  渔业水质标准</w:t>
      </w:r>
    </w:p>
    <w:p w14:paraId="65165E59">
      <w:pPr>
        <w:pStyle w:val="56"/>
        <w:ind w:firstLine="420"/>
      </w:pPr>
      <w:r>
        <w:rPr>
          <w:rFonts w:hint="eastAsia"/>
        </w:rPr>
        <w:t>GB 31650  食品安全国家标准 食品中兽药最大残留限量</w:t>
      </w:r>
    </w:p>
    <w:p w14:paraId="7DF783B0">
      <w:pPr>
        <w:pStyle w:val="56"/>
        <w:ind w:firstLine="420"/>
      </w:pPr>
      <w:bookmarkStart w:id="61" w:name="OLE_LINK131"/>
      <w:bookmarkStart w:id="62" w:name="OLE_LINK132"/>
      <w:r>
        <w:rPr>
          <w:rFonts w:hint="eastAsia"/>
        </w:rPr>
        <w:t>GB/T 36192</w:t>
      </w:r>
      <w:bookmarkEnd w:id="61"/>
      <w:bookmarkEnd w:id="62"/>
      <w:r>
        <w:rPr>
          <w:rFonts w:hint="eastAsia"/>
        </w:rPr>
        <w:t xml:space="preserve"> </w:t>
      </w:r>
      <w:r>
        <w:t xml:space="preserve"> </w:t>
      </w:r>
      <w:r>
        <w:rPr>
          <w:rFonts w:hint="eastAsia"/>
        </w:rPr>
        <w:t>活水产品运输技术规范</w:t>
      </w:r>
    </w:p>
    <w:p w14:paraId="5FC7DE40">
      <w:pPr>
        <w:pStyle w:val="56"/>
        <w:ind w:firstLine="420"/>
      </w:pPr>
      <w:r>
        <w:rPr>
          <w:rFonts w:hint="eastAsia"/>
        </w:rPr>
        <w:t>SC/T 9001  人造冰</w:t>
      </w:r>
    </w:p>
    <w:p w14:paraId="7C936A42">
      <w:pPr>
        <w:pStyle w:val="56"/>
        <w:ind w:firstLine="420"/>
      </w:pPr>
      <w:r>
        <w:rPr>
          <w:rFonts w:hint="eastAsia"/>
        </w:rPr>
        <w:t>T/GXAS 1081  横县鱼生制作技术规程</w:t>
      </w:r>
    </w:p>
    <w:p w14:paraId="5F0EE21F">
      <w:pPr>
        <w:pStyle w:val="104"/>
        <w:spacing w:before="240" w:after="240"/>
      </w:pPr>
      <w:bookmarkStart w:id="63" w:name="_Toc207285728"/>
      <w:bookmarkStart w:id="64" w:name="_Toc207978086"/>
      <w:bookmarkStart w:id="65" w:name="_Toc206588609"/>
      <w:bookmarkStart w:id="66" w:name="_Toc207213863"/>
      <w:bookmarkStart w:id="67" w:name="_Toc97192966"/>
      <w:bookmarkStart w:id="68" w:name="_Toc207294308"/>
      <w:r>
        <w:rPr>
          <w:rFonts w:hint="eastAsia"/>
          <w:szCs w:val="21"/>
        </w:rPr>
        <w:t>术语和定义</w:t>
      </w:r>
      <w:bookmarkEnd w:id="63"/>
      <w:bookmarkEnd w:id="64"/>
      <w:bookmarkEnd w:id="65"/>
      <w:bookmarkEnd w:id="66"/>
      <w:bookmarkEnd w:id="67"/>
      <w:bookmarkEnd w:id="68"/>
    </w:p>
    <w:sdt>
      <w:sdtPr>
        <w:id w:val="-1909835108"/>
        <w:placeholder>
          <w:docPart w:val="F879461383174384A13FFE8914C8FE1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69DABC">
          <w:pPr>
            <w:pStyle w:val="56"/>
            <w:ind w:firstLine="420"/>
          </w:pPr>
          <w:bookmarkStart w:id="69" w:name="_Toc26986532"/>
          <w:bookmarkEnd w:id="69"/>
          <w:r>
            <w:rPr>
              <w:rFonts w:hint="eastAsia"/>
            </w:rPr>
            <w:t>本文件没有需要界定的术语和定义。</w:t>
          </w:r>
        </w:p>
      </w:sdtContent>
    </w:sdt>
    <w:p w14:paraId="47FD2623">
      <w:pPr>
        <w:pStyle w:val="104"/>
        <w:spacing w:before="240" w:after="240"/>
      </w:pPr>
      <w:bookmarkStart w:id="70" w:name="_Toc207213864"/>
      <w:bookmarkStart w:id="71" w:name="_Toc207978087"/>
      <w:bookmarkStart w:id="72" w:name="_Toc207294309"/>
      <w:bookmarkStart w:id="73" w:name="_Toc207285729"/>
      <w:bookmarkStart w:id="74" w:name="_Toc206588610"/>
      <w:r>
        <w:rPr>
          <w:rFonts w:hint="eastAsia"/>
        </w:rPr>
        <w:t>基本</w:t>
      </w:r>
      <w:r>
        <w:t>要求</w:t>
      </w:r>
      <w:bookmarkEnd w:id="70"/>
      <w:bookmarkEnd w:id="71"/>
      <w:bookmarkEnd w:id="72"/>
      <w:bookmarkEnd w:id="73"/>
      <w:bookmarkEnd w:id="74"/>
    </w:p>
    <w:p w14:paraId="764DCA45">
      <w:pPr>
        <w:pStyle w:val="105"/>
        <w:spacing w:before="120" w:after="120"/>
        <w:rPr>
          <w:snapToGrid w:val="0"/>
        </w:rPr>
      </w:pPr>
      <w:bookmarkStart w:id="75" w:name="_Toc207294310"/>
      <w:bookmarkStart w:id="76" w:name="_Toc207285730"/>
      <w:bookmarkStart w:id="77" w:name="_Toc207213865"/>
      <w:bookmarkStart w:id="78" w:name="_Toc206588611"/>
      <w:bookmarkStart w:id="79" w:name="_Toc207978088"/>
      <w:r>
        <w:rPr>
          <w:rFonts w:hint="eastAsia"/>
          <w:snapToGrid w:val="0"/>
        </w:rPr>
        <w:t>活鱼</w:t>
      </w:r>
      <w:r>
        <w:rPr>
          <w:snapToGrid w:val="0"/>
        </w:rPr>
        <w:t>质量</w:t>
      </w:r>
      <w:bookmarkEnd w:id="75"/>
      <w:bookmarkEnd w:id="76"/>
      <w:bookmarkEnd w:id="77"/>
      <w:bookmarkEnd w:id="78"/>
      <w:bookmarkEnd w:id="79"/>
    </w:p>
    <w:p w14:paraId="779C37CD">
      <w:pPr>
        <w:pStyle w:val="56"/>
        <w:ind w:firstLine="420"/>
        <w:rPr>
          <w:snapToGrid w:val="0"/>
          <w:spacing w:val="-1"/>
        </w:rPr>
      </w:pPr>
      <w:bookmarkStart w:id="80" w:name="_Hlk207481410"/>
      <w:r>
        <w:rPr>
          <w:rFonts w:hint="eastAsia"/>
        </w:rPr>
        <w:t>宜选择生态鱼或健康养殖场养殖的活鱼，鱼体重规格及感官要求应符合T/GXAS 1081的规定，卫生标准应符合GB 2733的规定</w:t>
      </w:r>
      <w:r>
        <w:rPr>
          <w:snapToGrid w:val="0"/>
        </w:rPr>
        <w:t>。随货</w:t>
      </w:r>
      <w:r>
        <w:rPr>
          <w:rFonts w:hint="eastAsia"/>
          <w:snapToGrid w:val="0"/>
        </w:rPr>
        <w:t>宜</w:t>
      </w:r>
      <w:r>
        <w:rPr>
          <w:snapToGrid w:val="0"/>
        </w:rPr>
        <w:t>提供</w:t>
      </w:r>
      <w:r>
        <w:rPr>
          <w:snapToGrid w:val="0"/>
          <w:spacing w:val="-1"/>
        </w:rPr>
        <w:t>以池（塘）为单位出具的第三方检验合格报告，检验合格报告的项目应包括寄生虫指标。</w:t>
      </w:r>
      <w:bookmarkEnd w:id="80"/>
      <w:r>
        <w:rPr>
          <w:rFonts w:hint="eastAsia"/>
        </w:rPr>
        <w:t>兽药残留和寄生虫（吸虫、绦虫、线虫）残留限量要求见表1。</w:t>
      </w:r>
    </w:p>
    <w:p w14:paraId="639D1C59">
      <w:pPr>
        <w:pStyle w:val="112"/>
        <w:spacing w:before="120" w:after="120"/>
      </w:pPr>
      <w:r>
        <w:rPr>
          <w:rFonts w:hint="eastAsia"/>
        </w:rPr>
        <w:t>活鱼安全指标要求</w:t>
      </w:r>
    </w:p>
    <w:tbl>
      <w:tblPr>
        <w:tblStyle w:val="231"/>
        <w:tblW w:w="9377"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4526"/>
        <w:gridCol w:w="4851"/>
      </w:tblGrid>
      <w:tr w14:paraId="2079180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4526" w:type="dxa"/>
            <w:tcBorders>
              <w:top w:val="single" w:color="auto" w:sz="8" w:space="0"/>
              <w:bottom w:val="single" w:color="auto" w:sz="8" w:space="0"/>
              <w:right w:val="single" w:color="auto" w:sz="4" w:space="0"/>
            </w:tcBorders>
            <w:vAlign w:val="center"/>
          </w:tcPr>
          <w:p w14:paraId="33FE90AC">
            <w:pPr>
              <w:kinsoku w:val="0"/>
              <w:autoSpaceDE w:val="0"/>
              <w:autoSpaceDN w:val="0"/>
              <w:adjustRightInd w:val="0"/>
              <w:snapToGrid w:val="0"/>
              <w:jc w:val="center"/>
              <w:rPr>
                <w:rFonts w:ascii="宋体" w:hAnsi="宋体" w:eastAsia="Times New Roman" w:cs="宋体"/>
                <w:bCs/>
                <w:sz w:val="18"/>
                <w:szCs w:val="18"/>
                <w:lang w:eastAsia="en-US"/>
                <w14:ligatures w14:val="standardContextual"/>
              </w:rPr>
            </w:pPr>
            <w:r>
              <w:rPr>
                <w:rFonts w:hint="eastAsia" w:ascii="宋体" w:hAnsi="宋体" w:eastAsia="Times New Roman" w:cs="宋体"/>
                <w:bCs/>
                <w:sz w:val="18"/>
                <w:szCs w:val="18"/>
                <w14:ligatures w14:val="standardContextual"/>
              </w:rPr>
              <w:t>类别</w:t>
            </w:r>
          </w:p>
        </w:tc>
        <w:tc>
          <w:tcPr>
            <w:tcW w:w="4851" w:type="dxa"/>
            <w:tcBorders>
              <w:top w:val="single" w:color="auto" w:sz="8" w:space="0"/>
              <w:left w:val="single" w:color="auto" w:sz="4" w:space="0"/>
              <w:bottom w:val="single" w:color="auto" w:sz="8" w:space="0"/>
              <w:right w:val="single" w:color="auto" w:sz="4" w:space="0"/>
            </w:tcBorders>
            <w:vAlign w:val="center"/>
          </w:tcPr>
          <w:p w14:paraId="3590983D">
            <w:pPr>
              <w:kinsoku w:val="0"/>
              <w:autoSpaceDE w:val="0"/>
              <w:autoSpaceDN w:val="0"/>
              <w:adjustRightInd w:val="0"/>
              <w:snapToGrid w:val="0"/>
              <w:jc w:val="center"/>
              <w:rPr>
                <w:rFonts w:ascii="宋体" w:hAnsi="宋体" w:eastAsia="Times New Roman" w:cs="宋体"/>
                <w:bCs/>
                <w:sz w:val="18"/>
                <w:szCs w:val="18"/>
                <w:lang w:eastAsia="en-US"/>
                <w14:ligatures w14:val="standardContextual"/>
              </w:rPr>
            </w:pPr>
            <w:r>
              <w:rPr>
                <w:rFonts w:hint="eastAsia" w:ascii="宋体" w:hAnsi="宋体" w:eastAsia="Times New Roman" w:cs="宋体"/>
                <w:bCs/>
                <w:sz w:val="18"/>
                <w:szCs w:val="18"/>
                <w14:ligatures w14:val="standardContextual"/>
              </w:rPr>
              <w:t>限量要求</w:t>
            </w:r>
          </w:p>
        </w:tc>
      </w:tr>
      <w:tr w14:paraId="7D6EDA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91" w:hRule="atLeast"/>
        </w:trPr>
        <w:tc>
          <w:tcPr>
            <w:tcW w:w="4526" w:type="dxa"/>
            <w:tcBorders>
              <w:top w:val="single" w:color="auto" w:sz="8" w:space="0"/>
              <w:bottom w:val="single" w:color="auto" w:sz="4" w:space="0"/>
              <w:right w:val="single" w:color="auto" w:sz="4" w:space="0"/>
            </w:tcBorders>
            <w:vAlign w:val="center"/>
          </w:tcPr>
          <w:p w14:paraId="6E3BFAF3">
            <w:pPr>
              <w:kinsoku w:val="0"/>
              <w:autoSpaceDE w:val="0"/>
              <w:autoSpaceDN w:val="0"/>
              <w:adjustRightInd w:val="0"/>
              <w:snapToGrid w:val="0"/>
              <w:jc w:val="center"/>
              <w:rPr>
                <w:rFonts w:ascii="宋体" w:hAnsi="宋体" w:eastAsia="Times New Roman" w:cs="宋体"/>
                <w:sz w:val="18"/>
                <w:szCs w:val="18"/>
                <w:lang w:eastAsia="en-US"/>
                <w14:ligatures w14:val="standardContextual"/>
              </w:rPr>
            </w:pPr>
            <w:r>
              <w:rPr>
                <w:rFonts w:hint="eastAsia" w:ascii="宋体" w:hAnsi="宋体" w:eastAsia="Times New Roman" w:cs="宋体"/>
                <w:sz w:val="18"/>
                <w:szCs w:val="18"/>
                <w14:ligatures w14:val="standardContextual"/>
              </w:rPr>
              <w:t>兽药残留</w:t>
            </w:r>
          </w:p>
        </w:tc>
        <w:tc>
          <w:tcPr>
            <w:tcW w:w="4851" w:type="dxa"/>
            <w:tcBorders>
              <w:top w:val="single" w:color="auto" w:sz="8" w:space="0"/>
              <w:left w:val="single" w:color="auto" w:sz="4" w:space="0"/>
              <w:bottom w:val="single" w:color="auto" w:sz="4" w:space="0"/>
              <w:right w:val="single" w:color="auto" w:sz="4" w:space="0"/>
            </w:tcBorders>
            <w:vAlign w:val="center"/>
          </w:tcPr>
          <w:p w14:paraId="4A2F36E6">
            <w:pPr>
              <w:kinsoku w:val="0"/>
              <w:autoSpaceDE w:val="0"/>
              <w:autoSpaceDN w:val="0"/>
              <w:adjustRightInd w:val="0"/>
              <w:snapToGrid w:val="0"/>
              <w:jc w:val="center"/>
              <w:rPr>
                <w:rFonts w:ascii="宋体" w:hAnsi="宋体" w:eastAsia="Times New Roman" w:cs="宋体"/>
                <w:sz w:val="18"/>
                <w:szCs w:val="18"/>
                <w14:ligatures w14:val="standardContextual"/>
              </w:rPr>
            </w:pPr>
            <w:r>
              <w:rPr>
                <w:rFonts w:hint="eastAsia" w:ascii="宋体" w:hAnsi="宋体" w:eastAsia="Times New Roman" w:cs="宋体"/>
                <w:sz w:val="18"/>
                <w:szCs w:val="18"/>
                <w14:ligatures w14:val="standardContextual"/>
              </w:rPr>
              <w:t>按GB 31650的要求执行</w:t>
            </w:r>
          </w:p>
        </w:tc>
      </w:tr>
      <w:tr w14:paraId="1055881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4526" w:type="dxa"/>
            <w:tcBorders>
              <w:top w:val="single" w:color="auto" w:sz="4" w:space="0"/>
              <w:bottom w:val="single" w:color="auto" w:sz="8" w:space="0"/>
              <w:right w:val="single" w:color="auto" w:sz="4" w:space="0"/>
            </w:tcBorders>
            <w:vAlign w:val="center"/>
          </w:tcPr>
          <w:p w14:paraId="6F7A04D2">
            <w:pPr>
              <w:kinsoku w:val="0"/>
              <w:autoSpaceDE w:val="0"/>
              <w:autoSpaceDN w:val="0"/>
              <w:adjustRightInd w:val="0"/>
              <w:snapToGrid w:val="0"/>
              <w:jc w:val="center"/>
              <w:rPr>
                <w:rFonts w:ascii="宋体" w:hAnsi="宋体" w:eastAsia="Times New Roman" w:cs="宋体"/>
                <w:sz w:val="18"/>
                <w:szCs w:val="18"/>
                <w14:ligatures w14:val="standardContextual"/>
              </w:rPr>
            </w:pPr>
            <w:r>
              <w:rPr>
                <w:rFonts w:hint="eastAsia" w:ascii="宋体" w:hAnsi="宋体" w:eastAsia="Times New Roman" w:cs="宋体"/>
                <w:sz w:val="18"/>
                <w:szCs w:val="18"/>
                <w14:ligatures w14:val="standardContextual"/>
              </w:rPr>
              <w:t>寄生虫（吸虫、绦虫、线虫）</w:t>
            </w:r>
          </w:p>
        </w:tc>
        <w:tc>
          <w:tcPr>
            <w:tcW w:w="4851" w:type="dxa"/>
            <w:tcBorders>
              <w:top w:val="single" w:color="auto" w:sz="4" w:space="0"/>
              <w:left w:val="single" w:color="auto" w:sz="4" w:space="0"/>
              <w:bottom w:val="single" w:color="auto" w:sz="8" w:space="0"/>
              <w:right w:val="single" w:color="auto" w:sz="4" w:space="0"/>
            </w:tcBorders>
            <w:vAlign w:val="center"/>
          </w:tcPr>
          <w:p w14:paraId="7D9866BF">
            <w:pPr>
              <w:kinsoku w:val="0"/>
              <w:autoSpaceDE w:val="0"/>
              <w:autoSpaceDN w:val="0"/>
              <w:adjustRightInd w:val="0"/>
              <w:snapToGrid w:val="0"/>
              <w:jc w:val="center"/>
              <w:rPr>
                <w:rFonts w:ascii="宋体" w:hAnsi="宋体" w:eastAsia="Times New Roman" w:cs="宋体"/>
                <w:sz w:val="18"/>
                <w:szCs w:val="18"/>
                <w14:ligatures w14:val="standardContextual"/>
              </w:rPr>
            </w:pPr>
            <w:r>
              <w:rPr>
                <w:rFonts w:hint="eastAsia" w:ascii="宋体" w:hAnsi="宋体" w:eastAsia="Times New Roman" w:cs="宋体"/>
                <w:sz w:val="18"/>
                <w:szCs w:val="18"/>
                <w14:ligatures w14:val="standardContextual"/>
              </w:rPr>
              <w:t>不得检出</w:t>
            </w:r>
          </w:p>
        </w:tc>
      </w:tr>
    </w:tbl>
    <w:p w14:paraId="377339BE">
      <w:pPr>
        <w:pStyle w:val="56"/>
        <w:ind w:firstLine="0" w:firstLineChars="0"/>
        <w:rPr>
          <w:snapToGrid w:val="0"/>
          <w:spacing w:val="-1"/>
        </w:rPr>
      </w:pPr>
    </w:p>
    <w:p w14:paraId="3938123F">
      <w:pPr>
        <w:pStyle w:val="105"/>
        <w:spacing w:before="120" w:after="120"/>
        <w:rPr>
          <w:snapToGrid w:val="0"/>
        </w:rPr>
      </w:pPr>
      <w:bookmarkStart w:id="81" w:name="_Toc207978089"/>
      <w:bookmarkStart w:id="82" w:name="_Toc207285731"/>
      <w:bookmarkStart w:id="83" w:name="_Toc207294311"/>
      <w:bookmarkStart w:id="84" w:name="_Toc206588612"/>
      <w:bookmarkStart w:id="85" w:name="_Toc207213866"/>
      <w:r>
        <w:rPr>
          <w:snapToGrid w:val="0"/>
        </w:rPr>
        <w:t>运输工具卫生</w:t>
      </w:r>
      <w:bookmarkEnd w:id="81"/>
      <w:bookmarkEnd w:id="82"/>
      <w:bookmarkEnd w:id="83"/>
      <w:bookmarkEnd w:id="84"/>
      <w:bookmarkEnd w:id="85"/>
    </w:p>
    <w:p w14:paraId="770B3A75">
      <w:pPr>
        <w:pStyle w:val="165"/>
        <w:rPr>
          <w:snapToGrid w:val="0"/>
        </w:rPr>
      </w:pPr>
      <w:bookmarkStart w:id="86" w:name="_Hlk207481697"/>
      <w:r>
        <w:rPr>
          <w:snapToGrid w:val="0"/>
        </w:rPr>
        <w:t>鱼生用鱼运输车辆应专车专用，配置增氧系统和温度监控装置（精度</w:t>
      </w:r>
      <w:r>
        <w:rPr>
          <w:rFonts w:hAnsi="宋体"/>
          <w:snapToGrid w:val="0"/>
        </w:rPr>
        <w:t>±</w:t>
      </w:r>
      <w:r>
        <w:rPr>
          <w:rFonts w:hint="eastAsia"/>
          <w:snapToGrid w:val="0"/>
        </w:rPr>
        <w:t>1</w:t>
      </w:r>
      <w:r>
        <w:rPr>
          <w:rFonts w:hint="eastAsia" w:hAnsi="宋体" w:cs="宋体"/>
          <w:snapToGrid w:val="0"/>
        </w:rPr>
        <w:t>℃</w:t>
      </w:r>
      <w:r>
        <w:rPr>
          <w:snapToGrid w:val="0"/>
        </w:rPr>
        <w:t>）。货舱内壁应使用食品级不锈钢或聚乙烯材质，如需与其它水产</w:t>
      </w:r>
      <w:r>
        <w:rPr>
          <w:snapToGrid w:val="0"/>
          <w:spacing w:val="-1"/>
        </w:rPr>
        <w:t>品同车运输的，应进行分隔。</w:t>
      </w:r>
      <w:bookmarkEnd w:id="86"/>
    </w:p>
    <w:p w14:paraId="367F293E">
      <w:pPr>
        <w:pStyle w:val="165"/>
        <w:rPr>
          <w:snapToGrid w:val="0"/>
        </w:rPr>
      </w:pPr>
      <w:bookmarkStart w:id="87" w:name="_Hlk207482691"/>
      <w:r>
        <w:rPr>
          <w:snapToGrid w:val="0"/>
        </w:rPr>
        <w:t>运输工具应进行彻底清洗。每次装卸活鱼后使用200</w:t>
      </w:r>
      <w:r>
        <w:rPr>
          <w:snapToGrid w:val="0"/>
          <w:vertAlign w:val="superscript"/>
        </w:rPr>
        <w:t xml:space="preserve"> </w:t>
      </w:r>
      <w:r>
        <w:rPr>
          <w:snapToGrid w:val="0"/>
        </w:rPr>
        <w:t>ppm有效氯溶液冲洗舱体，再用清水冲洗残留氯至＜0.01</w:t>
      </w:r>
      <w:r>
        <w:rPr>
          <w:snapToGrid w:val="0"/>
          <w:vertAlign w:val="superscript"/>
        </w:rPr>
        <w:t xml:space="preserve"> </w:t>
      </w:r>
      <w:r>
        <w:rPr>
          <w:snapToGrid w:val="0"/>
        </w:rPr>
        <w:t>mg/L。每周进行1次臭氧熏蒸（浓度</w:t>
      </w:r>
      <w:r>
        <w:rPr>
          <w:rFonts w:hint="eastAsia"/>
          <w:snapToGrid w:val="0"/>
          <w:spacing w:val="-2"/>
        </w:rPr>
        <w:t>≥</w:t>
      </w:r>
      <w:r>
        <w:rPr>
          <w:snapToGrid w:val="0"/>
        </w:rPr>
        <w:t>20</w:t>
      </w:r>
      <w:bookmarkStart w:id="88" w:name="OLE_LINK83"/>
      <w:bookmarkStart w:id="89" w:name="OLE_LINK82"/>
      <w:r>
        <w:rPr>
          <w:snapToGrid w:val="0"/>
          <w:vertAlign w:val="superscript"/>
        </w:rPr>
        <w:t xml:space="preserve"> </w:t>
      </w:r>
      <w:bookmarkEnd w:id="88"/>
      <w:bookmarkEnd w:id="89"/>
      <w:r>
        <w:rPr>
          <w:snapToGrid w:val="0"/>
        </w:rPr>
        <w:t>ppm，作用30</w:t>
      </w:r>
      <w:r>
        <w:rPr>
          <w:snapToGrid w:val="0"/>
          <w:vertAlign w:val="superscript"/>
        </w:rPr>
        <w:t xml:space="preserve"> </w:t>
      </w:r>
      <w:r>
        <w:rPr>
          <w:rFonts w:hint="eastAsia"/>
          <w:snapToGrid w:val="0"/>
        </w:rPr>
        <w:t>m</w:t>
      </w:r>
      <w:r>
        <w:rPr>
          <w:snapToGrid w:val="0"/>
        </w:rPr>
        <w:t>in）。</w:t>
      </w:r>
      <w:bookmarkEnd w:id="87"/>
    </w:p>
    <w:p w14:paraId="4D95B394">
      <w:pPr>
        <w:pStyle w:val="165"/>
        <w:rPr>
          <w:rFonts w:eastAsia="黑体"/>
          <w:snapToGrid w:val="0"/>
        </w:rPr>
      </w:pPr>
      <w:bookmarkStart w:id="90" w:name="_Hlk207482797"/>
      <w:r>
        <w:rPr>
          <w:snapToGrid w:val="0"/>
        </w:rPr>
        <w:t>鱼生</w:t>
      </w:r>
      <w:r>
        <w:rPr>
          <w:rFonts w:hint="eastAsia"/>
          <w:snapToGrid w:val="0"/>
        </w:rPr>
        <w:t>辅料</w:t>
      </w:r>
      <w:r>
        <w:rPr>
          <w:snapToGrid w:val="0"/>
        </w:rPr>
        <w:t>运输应设置独立运输区，与活鱼隔离且温度控制在4</w:t>
      </w:r>
      <w:r>
        <w:rPr>
          <w:snapToGrid w:val="0"/>
          <w:spacing w:val="-11"/>
          <w:vertAlign w:val="superscript"/>
        </w:rPr>
        <w:t xml:space="preserve"> </w:t>
      </w:r>
      <w:r>
        <w:rPr>
          <w:rFonts w:hint="eastAsia" w:hAnsi="宋体" w:cs="宋体"/>
          <w:snapToGrid w:val="0"/>
        </w:rPr>
        <w:t>℃</w:t>
      </w:r>
      <w:r>
        <w:rPr>
          <w:rFonts w:hAnsi="宋体"/>
          <w:snapToGrid w:val="0"/>
        </w:rPr>
        <w:t>±</w:t>
      </w:r>
      <w:r>
        <w:rPr>
          <w:snapToGrid w:val="0"/>
        </w:rPr>
        <w:t>1</w:t>
      </w:r>
      <w:r>
        <w:rPr>
          <w:snapToGrid w:val="0"/>
          <w:spacing w:val="-11"/>
          <w:vertAlign w:val="superscript"/>
        </w:rPr>
        <w:t xml:space="preserve"> </w:t>
      </w:r>
      <w:r>
        <w:rPr>
          <w:rFonts w:hint="eastAsia" w:hAnsi="宋体" w:cs="宋体"/>
          <w:snapToGrid w:val="0"/>
        </w:rPr>
        <w:t>℃</w:t>
      </w:r>
      <w:r>
        <w:rPr>
          <w:snapToGrid w:val="0"/>
        </w:rPr>
        <w:t>，用于紫苏叶、薄荷叶、木瓜丝等20余种特色配料的冷链运输。特色配料</w:t>
      </w:r>
      <w:r>
        <w:rPr>
          <w:rFonts w:hint="eastAsia"/>
          <w:snapToGrid w:val="0"/>
        </w:rPr>
        <w:t>若</w:t>
      </w:r>
      <w:r>
        <w:rPr>
          <w:snapToGrid w:val="0"/>
        </w:rPr>
        <w:t>需独立包装，</w:t>
      </w:r>
      <w:r>
        <w:rPr>
          <w:rFonts w:hint="eastAsia"/>
          <w:snapToGrid w:val="0"/>
        </w:rPr>
        <w:t>应</w:t>
      </w:r>
      <w:r>
        <w:rPr>
          <w:snapToGrid w:val="0"/>
        </w:rPr>
        <w:t>使用食品级</w:t>
      </w:r>
      <w:r>
        <w:rPr>
          <w:rFonts w:hint="eastAsia"/>
          <w:snapToGrid w:val="0"/>
        </w:rPr>
        <w:t>塑料</w:t>
      </w:r>
      <w:r>
        <w:rPr>
          <w:snapToGrid w:val="0"/>
        </w:rPr>
        <w:t>盒盛装，表面加盖食品级</w:t>
      </w:r>
      <w:r>
        <w:rPr>
          <w:rFonts w:hint="eastAsia"/>
          <w:snapToGrid w:val="0"/>
        </w:rPr>
        <w:t>保鲜</w:t>
      </w:r>
      <w:r>
        <w:rPr>
          <w:snapToGrid w:val="0"/>
        </w:rPr>
        <w:t>膜。</w:t>
      </w:r>
    </w:p>
    <w:bookmarkEnd w:id="90"/>
    <w:p w14:paraId="0D2255F9">
      <w:pPr>
        <w:pStyle w:val="105"/>
        <w:spacing w:before="120" w:after="120"/>
        <w:rPr>
          <w:snapToGrid w:val="0"/>
        </w:rPr>
      </w:pPr>
      <w:bookmarkStart w:id="91" w:name="_Toc207978090"/>
      <w:bookmarkStart w:id="92" w:name="_Toc207285732"/>
      <w:bookmarkStart w:id="93" w:name="_Toc207213867"/>
      <w:bookmarkStart w:id="94" w:name="_Toc206588613"/>
      <w:bookmarkStart w:id="95" w:name="_Toc207294312"/>
      <w:r>
        <w:rPr>
          <w:snapToGrid w:val="0"/>
        </w:rPr>
        <w:t>运输人员要求</w:t>
      </w:r>
      <w:bookmarkEnd w:id="91"/>
      <w:bookmarkEnd w:id="92"/>
      <w:bookmarkEnd w:id="93"/>
      <w:bookmarkEnd w:id="94"/>
      <w:bookmarkEnd w:id="95"/>
    </w:p>
    <w:p w14:paraId="3C29C60E">
      <w:pPr>
        <w:pStyle w:val="56"/>
        <w:spacing w:before="120" w:after="120"/>
        <w:ind w:firstLine="420"/>
        <w:rPr>
          <w:rFonts w:eastAsia="黑体"/>
          <w:snapToGrid w:val="0"/>
          <w:sz w:val="28"/>
          <w:szCs w:val="28"/>
        </w:rPr>
      </w:pPr>
      <w:r>
        <w:rPr>
          <w:snapToGrid w:val="0"/>
        </w:rPr>
        <w:t>运输人员需持有健康证，并接受横县鱼生运输保护专项培训，包括</w:t>
      </w:r>
      <w:r>
        <w:rPr>
          <w:rFonts w:hint="eastAsia"/>
          <w:snapToGrid w:val="0"/>
        </w:rPr>
        <w:t>横县</w:t>
      </w:r>
      <w:r>
        <w:rPr>
          <w:snapToGrid w:val="0"/>
        </w:rPr>
        <w:t>鱼生用鱼运输要求、应激反应识别等内容。</w:t>
      </w:r>
    </w:p>
    <w:p w14:paraId="68611382">
      <w:pPr>
        <w:pStyle w:val="105"/>
        <w:spacing w:before="120" w:after="120"/>
        <w:rPr>
          <w:snapToGrid w:val="0"/>
        </w:rPr>
      </w:pPr>
      <w:bookmarkStart w:id="96" w:name="_Toc206588614"/>
      <w:bookmarkStart w:id="97" w:name="_Toc207213868"/>
      <w:bookmarkStart w:id="98" w:name="_Toc207978091"/>
      <w:bookmarkStart w:id="99" w:name="_Toc207285733"/>
      <w:bookmarkStart w:id="100" w:name="_Toc207294313"/>
      <w:r>
        <w:rPr>
          <w:snapToGrid w:val="0"/>
        </w:rPr>
        <w:t>水和冰</w:t>
      </w:r>
      <w:bookmarkEnd w:id="96"/>
      <w:bookmarkEnd w:id="97"/>
      <w:bookmarkEnd w:id="98"/>
      <w:bookmarkEnd w:id="99"/>
      <w:bookmarkEnd w:id="100"/>
    </w:p>
    <w:p w14:paraId="2A8BF610">
      <w:pPr>
        <w:pStyle w:val="56"/>
        <w:spacing w:before="120" w:after="120"/>
        <w:ind w:firstLine="420"/>
        <w:rPr>
          <w:snapToGrid w:val="0"/>
        </w:rPr>
      </w:pPr>
      <w:r>
        <w:rPr>
          <w:snapToGrid w:val="0"/>
        </w:rPr>
        <w:t>运输和暂养过程用水水质应符合GB 11607的规定，用冰应符合</w:t>
      </w:r>
      <w:r>
        <w:rPr>
          <w:snapToGrid w:val="0"/>
          <w:spacing w:val="-43"/>
        </w:rPr>
        <w:t xml:space="preserve"> </w:t>
      </w:r>
      <w:r>
        <w:rPr>
          <w:snapToGrid w:val="0"/>
        </w:rPr>
        <w:t>SC/T 9001的规定。</w:t>
      </w:r>
    </w:p>
    <w:p w14:paraId="1C26CC28">
      <w:pPr>
        <w:pStyle w:val="104"/>
        <w:spacing w:before="240" w:after="240"/>
      </w:pPr>
      <w:bookmarkStart w:id="101" w:name="_Toc207978092"/>
      <w:bookmarkStart w:id="102" w:name="_Toc207285734"/>
      <w:bookmarkStart w:id="103" w:name="_Toc207213869"/>
      <w:bookmarkStart w:id="104" w:name="_Toc206588615"/>
      <w:bookmarkStart w:id="105" w:name="_Toc207294314"/>
      <w:r>
        <w:rPr>
          <w:snapToGrid w:val="0"/>
        </w:rPr>
        <w:t>横县鱼生</w:t>
      </w:r>
      <w:r>
        <w:rPr>
          <w:rFonts w:hint="eastAsia"/>
          <w:snapToGrid w:val="0"/>
        </w:rPr>
        <w:t>用</w:t>
      </w:r>
      <w:r>
        <w:rPr>
          <w:snapToGrid w:val="0"/>
        </w:rPr>
        <w:t>鱼运输</w:t>
      </w:r>
      <w:r>
        <w:rPr>
          <w:rFonts w:hint="eastAsia"/>
          <w:snapToGrid w:val="0"/>
        </w:rPr>
        <w:t>要求</w:t>
      </w:r>
      <w:bookmarkEnd w:id="101"/>
      <w:bookmarkEnd w:id="102"/>
      <w:bookmarkEnd w:id="103"/>
      <w:bookmarkEnd w:id="104"/>
      <w:bookmarkEnd w:id="105"/>
    </w:p>
    <w:p w14:paraId="6BE8789D">
      <w:pPr>
        <w:pStyle w:val="105"/>
        <w:spacing w:before="120" w:after="120"/>
        <w:rPr>
          <w:snapToGrid w:val="0"/>
        </w:rPr>
      </w:pPr>
      <w:bookmarkStart w:id="106" w:name="_Toc207978093"/>
      <w:bookmarkStart w:id="107" w:name="_Toc206588616"/>
      <w:bookmarkStart w:id="108" w:name="_Toc207213870"/>
      <w:bookmarkStart w:id="109" w:name="_Toc207294315"/>
      <w:bookmarkStart w:id="110" w:name="_Toc207285735"/>
      <w:r>
        <w:rPr>
          <w:snapToGrid w:val="0"/>
        </w:rPr>
        <w:t>预处理</w:t>
      </w:r>
      <w:bookmarkEnd w:id="106"/>
      <w:bookmarkEnd w:id="107"/>
      <w:bookmarkEnd w:id="108"/>
      <w:bookmarkEnd w:id="109"/>
      <w:bookmarkEnd w:id="110"/>
    </w:p>
    <w:p w14:paraId="3D641382">
      <w:pPr>
        <w:pStyle w:val="56"/>
        <w:spacing w:before="120" w:after="120"/>
        <w:ind w:firstLine="420"/>
        <w:rPr>
          <w:snapToGrid w:val="0"/>
        </w:rPr>
      </w:pPr>
      <w:r>
        <w:rPr>
          <w:snapToGrid w:val="0"/>
        </w:rPr>
        <w:t>健康的鱼生用鱼在装运前停食暂养48</w:t>
      </w:r>
      <w:r>
        <w:rPr>
          <w:snapToGrid w:val="0"/>
          <w:vertAlign w:val="superscript"/>
        </w:rPr>
        <w:t xml:space="preserve"> </w:t>
      </w:r>
      <w:r>
        <w:rPr>
          <w:snapToGrid w:val="0"/>
        </w:rPr>
        <w:t>h排空肠道，拉网锻炼2次</w:t>
      </w:r>
      <w:r>
        <w:rPr>
          <w:snapToGrid w:val="0"/>
          <w:spacing w:val="2"/>
        </w:rPr>
        <w:t>。暂养过程应注意水温、</w:t>
      </w:r>
      <w:r>
        <w:rPr>
          <w:snapToGrid w:val="0"/>
          <w:spacing w:val="1"/>
        </w:rPr>
        <w:t>溶氧、</w:t>
      </w:r>
      <w:r>
        <w:rPr>
          <w:snapToGrid w:val="0"/>
        </w:rPr>
        <w:t>pH</w:t>
      </w:r>
      <w:r>
        <w:rPr>
          <w:snapToGrid w:val="0"/>
          <w:spacing w:val="1"/>
        </w:rPr>
        <w:t>值等水质变化，鱼的体质和暂养密度</w:t>
      </w:r>
      <w:r>
        <w:rPr>
          <w:snapToGrid w:val="0"/>
        </w:rPr>
        <w:t>等情况，剔除体质较弱和受伤较重的个体。如需要降温时，可采用加冰或制冷等</w:t>
      </w:r>
      <w:r>
        <w:rPr>
          <w:snapToGrid w:val="0"/>
          <w:spacing w:val="-3"/>
        </w:rPr>
        <w:t>方式缓慢降温，降温梯度每小时不应超过3</w:t>
      </w:r>
      <w:r>
        <w:rPr>
          <w:snapToGrid w:val="0"/>
          <w:spacing w:val="-3"/>
          <w:vertAlign w:val="superscript"/>
        </w:rPr>
        <w:t xml:space="preserve"> </w:t>
      </w:r>
      <w:r>
        <w:rPr>
          <w:snapToGrid w:val="0"/>
          <w:spacing w:val="-26"/>
          <w:vertAlign w:val="superscript"/>
        </w:rPr>
        <w:t xml:space="preserve"> </w:t>
      </w:r>
      <w:r>
        <w:rPr>
          <w:rFonts w:hint="eastAsia" w:hAnsi="宋体" w:cs="宋体"/>
          <w:snapToGrid w:val="0"/>
          <w:spacing w:val="-3"/>
        </w:rPr>
        <w:t>℃</w:t>
      </w:r>
      <w:r>
        <w:rPr>
          <w:snapToGrid w:val="0"/>
          <w:spacing w:val="-3"/>
        </w:rPr>
        <w:t>。</w:t>
      </w:r>
      <w:bookmarkStart w:id="111" w:name="OLE_LINK30"/>
      <w:bookmarkStart w:id="112" w:name="OLE_LINK31"/>
      <w:r>
        <w:rPr>
          <w:rFonts w:hint="eastAsia"/>
          <w:snapToGrid w:val="0"/>
          <w:spacing w:val="-3"/>
        </w:rPr>
        <w:t>暂养</w:t>
      </w:r>
      <w:r>
        <w:rPr>
          <w:snapToGrid w:val="0"/>
          <w:spacing w:val="-3"/>
        </w:rPr>
        <w:t>网箱</w:t>
      </w:r>
      <w:r>
        <w:rPr>
          <w:rFonts w:hint="eastAsia"/>
          <w:snapToGrid w:val="0"/>
          <w:spacing w:val="-3"/>
        </w:rPr>
        <w:t>和</w:t>
      </w:r>
      <w:r>
        <w:rPr>
          <w:snapToGrid w:val="0"/>
          <w:spacing w:val="-3"/>
        </w:rPr>
        <w:t>水池</w:t>
      </w:r>
      <w:r>
        <w:rPr>
          <w:rFonts w:hint="eastAsia"/>
          <w:snapToGrid w:val="0"/>
          <w:spacing w:val="-3"/>
        </w:rPr>
        <w:t>应达到无螺无寄生虫要求。</w:t>
      </w:r>
      <w:bookmarkEnd w:id="111"/>
      <w:bookmarkEnd w:id="112"/>
    </w:p>
    <w:p w14:paraId="2EDDE4EC">
      <w:pPr>
        <w:pStyle w:val="105"/>
        <w:spacing w:before="120" w:after="120"/>
        <w:rPr>
          <w:snapToGrid w:val="0"/>
        </w:rPr>
      </w:pPr>
      <w:bookmarkStart w:id="113" w:name="_Toc206588617"/>
      <w:bookmarkStart w:id="114" w:name="_Toc207213871"/>
      <w:bookmarkStart w:id="115" w:name="_Toc207285736"/>
      <w:bookmarkStart w:id="116" w:name="_Toc207294316"/>
      <w:bookmarkStart w:id="117" w:name="_Toc207978094"/>
      <w:r>
        <w:rPr>
          <w:snapToGrid w:val="0"/>
        </w:rPr>
        <w:t>运输环境控制</w:t>
      </w:r>
      <w:bookmarkEnd w:id="113"/>
      <w:bookmarkEnd w:id="114"/>
      <w:bookmarkEnd w:id="115"/>
      <w:bookmarkEnd w:id="116"/>
      <w:bookmarkEnd w:id="117"/>
    </w:p>
    <w:p w14:paraId="33D591C8">
      <w:pPr>
        <w:pStyle w:val="65"/>
        <w:spacing w:before="120" w:after="120"/>
        <w:rPr>
          <w:snapToGrid w:val="0"/>
        </w:rPr>
      </w:pPr>
      <w:r>
        <w:rPr>
          <w:snapToGrid w:val="0"/>
        </w:rPr>
        <w:t>水质与水温控制</w:t>
      </w:r>
    </w:p>
    <w:p w14:paraId="566A0BDB">
      <w:pPr>
        <w:pStyle w:val="164"/>
        <w:rPr>
          <w:snapToGrid w:val="0"/>
        </w:rPr>
      </w:pPr>
      <w:r>
        <w:rPr>
          <w:snapToGrid w:val="0"/>
          <w:spacing w:val="-1"/>
        </w:rPr>
        <w:t>装运前应检查运</w:t>
      </w:r>
      <w:r>
        <w:rPr>
          <w:snapToGrid w:val="0"/>
        </w:rPr>
        <w:t>输容器是否破损。装鱼前应先在装载容器中加入与暂养池的温度相同的</w:t>
      </w:r>
      <w:r>
        <w:rPr>
          <w:snapToGrid w:val="0"/>
          <w:spacing w:val="-1"/>
        </w:rPr>
        <w:t>水，温差不应超过</w:t>
      </w:r>
      <w:r>
        <w:rPr>
          <w:rFonts w:hAnsi="宋体"/>
          <w:snapToGrid w:val="0"/>
          <w:spacing w:val="-1"/>
        </w:rPr>
        <w:t>±</w:t>
      </w:r>
      <w:r>
        <w:rPr>
          <w:snapToGrid w:val="0"/>
          <w:spacing w:val="-1"/>
        </w:rPr>
        <w:t>3</w:t>
      </w:r>
      <w:bookmarkStart w:id="118" w:name="OLE_LINK85"/>
      <w:bookmarkStart w:id="119" w:name="OLE_LINK86"/>
      <w:r>
        <w:rPr>
          <w:snapToGrid w:val="0"/>
          <w:spacing w:val="-11"/>
          <w:vertAlign w:val="superscript"/>
        </w:rPr>
        <w:t xml:space="preserve"> </w:t>
      </w:r>
      <w:bookmarkEnd w:id="118"/>
      <w:bookmarkEnd w:id="119"/>
      <w:r>
        <w:rPr>
          <w:rFonts w:hint="eastAsia" w:hAnsi="宋体" w:cs="宋体"/>
          <w:snapToGrid w:val="0"/>
          <w:spacing w:val="-1"/>
        </w:rPr>
        <w:t>℃</w:t>
      </w:r>
      <w:r>
        <w:rPr>
          <w:snapToGrid w:val="0"/>
          <w:spacing w:val="-1"/>
        </w:rPr>
        <w:t>。</w:t>
      </w:r>
      <w:r>
        <w:rPr>
          <w:snapToGrid w:val="0"/>
          <w:spacing w:val="1"/>
        </w:rPr>
        <w:t>运输过程应根据鱼的种类以及季节调节适合的水温，水温宜控制在10</w:t>
      </w:r>
      <w:r>
        <w:rPr>
          <w:snapToGrid w:val="0"/>
          <w:spacing w:val="1"/>
          <w:vertAlign w:val="superscript"/>
        </w:rPr>
        <w:t xml:space="preserve"> </w:t>
      </w:r>
      <w:r>
        <w:rPr>
          <w:snapToGrid w:val="0"/>
          <w:spacing w:val="-28"/>
          <w:vertAlign w:val="superscript"/>
        </w:rPr>
        <w:t xml:space="preserve"> </w:t>
      </w:r>
      <w:r>
        <w:rPr>
          <w:rFonts w:hint="eastAsia" w:hAnsi="宋体" w:cs="宋体"/>
          <w:snapToGrid w:val="0"/>
          <w:spacing w:val="1"/>
        </w:rPr>
        <w:t>℃</w:t>
      </w:r>
      <w:r>
        <w:rPr>
          <w:rFonts w:hint="eastAsia"/>
          <w:snapToGrid w:val="0"/>
        </w:rPr>
        <w:t>～</w:t>
      </w:r>
      <w:r>
        <w:rPr>
          <w:snapToGrid w:val="0"/>
        </w:rPr>
        <w:t>20</w:t>
      </w:r>
      <w:r>
        <w:rPr>
          <w:snapToGrid w:val="0"/>
          <w:spacing w:val="-11"/>
          <w:vertAlign w:val="superscript"/>
        </w:rPr>
        <w:t xml:space="preserve"> </w:t>
      </w:r>
      <w:r>
        <w:rPr>
          <w:snapToGrid w:val="0"/>
          <w:spacing w:val="-26"/>
          <w:vertAlign w:val="superscript"/>
        </w:rPr>
        <w:t xml:space="preserve"> </w:t>
      </w:r>
      <w:r>
        <w:rPr>
          <w:rFonts w:hint="eastAsia" w:hAnsi="宋体" w:cs="宋体"/>
          <w:snapToGrid w:val="0"/>
        </w:rPr>
        <w:t>℃</w:t>
      </w:r>
      <w:r>
        <w:rPr>
          <w:snapToGrid w:val="0"/>
        </w:rPr>
        <w:t>。</w:t>
      </w:r>
    </w:p>
    <w:p w14:paraId="60E3D2CF">
      <w:pPr>
        <w:pStyle w:val="164"/>
        <w:rPr>
          <w:snapToGrid w:val="0"/>
        </w:rPr>
      </w:pPr>
      <w:r>
        <w:rPr>
          <w:snapToGrid w:val="0"/>
        </w:rPr>
        <w:t>运输用水应当经过过滤及消毒，达到无螺无寄生虫要求。水体pH值维持在7.0</w:t>
      </w:r>
      <w:r>
        <w:rPr>
          <w:rFonts w:hint="eastAsia"/>
          <w:snapToGrid w:val="0"/>
        </w:rPr>
        <w:t>～</w:t>
      </w:r>
      <w:r>
        <w:rPr>
          <w:snapToGrid w:val="0"/>
        </w:rPr>
        <w:t>7.5，氨氮浓度</w:t>
      </w:r>
      <w:r>
        <w:rPr>
          <w:rFonts w:hAnsi="宋体"/>
          <w:snapToGrid w:val="0"/>
        </w:rPr>
        <w:t>≤</w:t>
      </w:r>
      <w:r>
        <w:rPr>
          <w:snapToGrid w:val="0"/>
        </w:rPr>
        <w:t>0.02</w:t>
      </w:r>
      <w:r>
        <w:rPr>
          <w:snapToGrid w:val="0"/>
          <w:vertAlign w:val="superscript"/>
        </w:rPr>
        <w:t xml:space="preserve"> </w:t>
      </w:r>
      <w:r>
        <w:rPr>
          <w:snapToGrid w:val="0"/>
        </w:rPr>
        <w:t>mg/L。运输时间超过5</w:t>
      </w:r>
      <w:r>
        <w:rPr>
          <w:snapToGrid w:val="0"/>
          <w:vertAlign w:val="superscript"/>
        </w:rPr>
        <w:t xml:space="preserve"> </w:t>
      </w:r>
      <w:r>
        <w:rPr>
          <w:snapToGrid w:val="0"/>
        </w:rPr>
        <w:t>h需进行换水。</w:t>
      </w:r>
    </w:p>
    <w:p w14:paraId="595D1E8E">
      <w:pPr>
        <w:pStyle w:val="65"/>
        <w:spacing w:before="120" w:after="120"/>
        <w:rPr>
          <w:snapToGrid w:val="0"/>
        </w:rPr>
      </w:pPr>
      <w:r>
        <w:rPr>
          <w:snapToGrid w:val="0"/>
        </w:rPr>
        <w:t>装运密度</w:t>
      </w:r>
    </w:p>
    <w:p w14:paraId="78B7222B">
      <w:pPr>
        <w:pStyle w:val="56"/>
        <w:spacing w:before="120" w:after="120"/>
        <w:ind w:firstLine="420"/>
        <w:rPr>
          <w:snapToGrid w:val="0"/>
        </w:rPr>
      </w:pPr>
      <w:r>
        <w:rPr>
          <w:snapToGrid w:val="0"/>
        </w:rPr>
        <w:t>装</w:t>
      </w:r>
      <w:bookmarkStart w:id="120" w:name="OLE_LINK133"/>
      <w:r>
        <w:rPr>
          <w:snapToGrid w:val="0"/>
        </w:rPr>
        <w:t>运密度应根据运输水域的水温、运输时间而定，不</w:t>
      </w:r>
      <w:r>
        <w:rPr>
          <w:rFonts w:hint="eastAsia"/>
          <w:snapToGrid w:val="0"/>
        </w:rPr>
        <w:t>宜</w:t>
      </w:r>
      <w:r>
        <w:rPr>
          <w:snapToGrid w:val="0"/>
        </w:rPr>
        <w:t>高于</w:t>
      </w:r>
      <w:bookmarkStart w:id="121" w:name="OLE_LINK102"/>
      <w:bookmarkStart w:id="122" w:name="OLE_LINK103"/>
      <w:r>
        <w:rPr>
          <w:rFonts w:hint="eastAsia"/>
          <w:snapToGrid w:val="0"/>
        </w:rPr>
        <w:t>300</w:t>
      </w:r>
      <w:r>
        <w:rPr>
          <w:snapToGrid w:val="0"/>
          <w:vertAlign w:val="superscript"/>
        </w:rPr>
        <w:t xml:space="preserve"> </w:t>
      </w:r>
      <w:r>
        <w:rPr>
          <w:snapToGrid w:val="0"/>
        </w:rPr>
        <w:t>kg/</w:t>
      </w:r>
      <w:bookmarkStart w:id="123" w:name="OLE_LINK11"/>
      <w:r>
        <w:rPr>
          <w:snapToGrid w:val="0"/>
        </w:rPr>
        <w:t>m³</w:t>
      </w:r>
      <w:bookmarkEnd w:id="121"/>
      <w:bookmarkEnd w:id="122"/>
      <w:r>
        <w:rPr>
          <w:snapToGrid w:val="0"/>
        </w:rPr>
        <w:t>。</w:t>
      </w:r>
      <w:bookmarkEnd w:id="120"/>
      <w:bookmarkEnd w:id="123"/>
    </w:p>
    <w:p w14:paraId="025D53FC">
      <w:pPr>
        <w:pStyle w:val="65"/>
        <w:spacing w:before="120" w:after="120"/>
        <w:rPr>
          <w:snapToGrid w:val="0"/>
        </w:rPr>
      </w:pPr>
      <w:bookmarkStart w:id="124" w:name="OLE_LINK2"/>
      <w:bookmarkStart w:id="125" w:name="OLE_LINK1"/>
      <w:r>
        <w:rPr>
          <w:snapToGrid w:val="0"/>
        </w:rPr>
        <w:t>溶氧量控制</w:t>
      </w:r>
    </w:p>
    <w:bookmarkEnd w:id="124"/>
    <w:bookmarkEnd w:id="125"/>
    <w:p w14:paraId="4D3E8CF8">
      <w:pPr>
        <w:pStyle w:val="56"/>
        <w:spacing w:before="120" w:after="120"/>
        <w:ind w:firstLine="416"/>
        <w:rPr>
          <w:color w:val="000000" w:themeColor="text1"/>
          <w14:textFill>
            <w14:solidFill>
              <w14:schemeClr w14:val="tx1"/>
            </w14:solidFill>
          </w14:textFill>
        </w:rPr>
      </w:pPr>
      <w:r>
        <w:rPr>
          <w:snapToGrid w:val="0"/>
          <w:spacing w:val="-1"/>
        </w:rPr>
        <w:t>运输过程中应保持充气增氧，使水中的溶氧量不小于10</w:t>
      </w:r>
      <w:bookmarkStart w:id="126" w:name="OLE_LINK129"/>
      <w:r>
        <w:rPr>
          <w:snapToGrid w:val="0"/>
          <w:spacing w:val="-1"/>
          <w:vertAlign w:val="superscript"/>
        </w:rPr>
        <w:t xml:space="preserve"> </w:t>
      </w:r>
      <w:r>
        <w:rPr>
          <w:snapToGrid w:val="0"/>
          <w:spacing w:val="-1"/>
        </w:rPr>
        <w:t>mg/L</w:t>
      </w:r>
      <w:bookmarkEnd w:id="126"/>
      <w:r>
        <w:rPr>
          <w:snapToGrid w:val="0"/>
          <w:spacing w:val="-1"/>
        </w:rPr>
        <w:t>。</w:t>
      </w:r>
      <w:r>
        <w:rPr>
          <w:snapToGrid w:val="0"/>
        </w:rPr>
        <w:t>采用塑料薄膜袋加水充氧封闭式装运时，装鱼前应先检查塑料袋是否漏气，然后注入约1/3</w:t>
      </w:r>
      <w:r>
        <w:rPr>
          <w:snapToGrid w:val="0"/>
          <w:spacing w:val="-2"/>
        </w:rPr>
        <w:t>体积的新鲜水，再放入</w:t>
      </w:r>
      <w:r>
        <w:rPr>
          <w:rFonts w:hint="eastAsia"/>
          <w:snapToGrid w:val="0"/>
          <w:spacing w:val="-2"/>
        </w:rPr>
        <w:t>横县</w:t>
      </w:r>
      <w:r>
        <w:rPr>
          <w:snapToGrid w:val="0"/>
          <w:spacing w:val="-2"/>
        </w:rPr>
        <w:t>鱼生用鱼，充入纯氧后扎紧袋口，放进纸板箱或泡沫塑料</w:t>
      </w:r>
      <w:r>
        <w:rPr>
          <w:snapToGrid w:val="0"/>
          <w:spacing w:val="-3"/>
        </w:rPr>
        <w:t>箱中进行运输。</w:t>
      </w:r>
    </w:p>
    <w:p w14:paraId="60CA3DF4">
      <w:pPr>
        <w:pStyle w:val="105"/>
        <w:spacing w:before="120" w:after="120"/>
        <w:rPr>
          <w:snapToGrid w:val="0"/>
        </w:rPr>
      </w:pPr>
      <w:bookmarkStart w:id="127" w:name="_Toc207213872"/>
      <w:bookmarkStart w:id="128" w:name="_Toc206588618"/>
      <w:bookmarkStart w:id="129" w:name="_Toc207294317"/>
      <w:bookmarkStart w:id="130" w:name="_Toc207978095"/>
      <w:bookmarkStart w:id="131" w:name="_Toc207285737"/>
      <w:r>
        <w:rPr>
          <w:rFonts w:hint="eastAsia"/>
          <w:snapToGrid w:val="0"/>
        </w:rPr>
        <w:t>运输</w:t>
      </w:r>
      <w:bookmarkEnd w:id="127"/>
      <w:bookmarkEnd w:id="128"/>
      <w:r>
        <w:rPr>
          <w:rFonts w:hint="eastAsia"/>
          <w:snapToGrid w:val="0"/>
        </w:rPr>
        <w:t>注意事项</w:t>
      </w:r>
      <w:bookmarkEnd w:id="129"/>
      <w:bookmarkEnd w:id="130"/>
      <w:bookmarkEnd w:id="131"/>
    </w:p>
    <w:p w14:paraId="6F2D92C1">
      <w:pPr>
        <w:pStyle w:val="56"/>
        <w:ind w:firstLine="420"/>
        <w:rPr>
          <w:snapToGrid w:val="0"/>
          <w:color w:val="000000" w:themeColor="text1"/>
          <w14:textFill>
            <w14:solidFill>
              <w14:schemeClr w14:val="tx1"/>
            </w14:solidFill>
          </w14:textFill>
        </w:rPr>
      </w:pPr>
      <w:bookmarkStart w:id="132" w:name="OLE_LINK3"/>
      <w:bookmarkStart w:id="133" w:name="OLE_LINK4"/>
      <w:r>
        <w:rPr>
          <w:rFonts w:hint="eastAsia"/>
          <w:snapToGrid w:val="0"/>
          <w:color w:val="000000" w:themeColor="text1"/>
          <w14:textFill>
            <w14:solidFill>
              <w14:schemeClr w14:val="tx1"/>
            </w14:solidFill>
          </w14:textFill>
        </w:rPr>
        <w:t>载水运输应</w:t>
      </w:r>
      <w:r>
        <w:rPr>
          <w:snapToGrid w:val="0"/>
          <w:color w:val="000000" w:themeColor="text1"/>
          <w14:textFill>
            <w14:solidFill>
              <w14:schemeClr w14:val="tx1"/>
            </w14:solidFill>
          </w14:textFill>
        </w:rPr>
        <w:t>符合</w:t>
      </w:r>
      <w:r>
        <w:rPr>
          <w:rFonts w:hint="eastAsia"/>
          <w:snapToGrid w:val="0"/>
          <w:color w:val="000000" w:themeColor="text1"/>
          <w:spacing w:val="-1"/>
          <w14:textFill>
            <w14:solidFill>
              <w14:schemeClr w14:val="tx1"/>
            </w14:solidFill>
          </w14:textFill>
        </w:rPr>
        <w:t>GB/T 36192的</w:t>
      </w:r>
      <w:r>
        <w:rPr>
          <w:snapToGrid w:val="0"/>
          <w:color w:val="000000" w:themeColor="text1"/>
          <w:spacing w:val="-1"/>
          <w14:textFill>
            <w14:solidFill>
              <w14:schemeClr w14:val="tx1"/>
            </w14:solidFill>
          </w14:textFill>
        </w:rPr>
        <w:t>规定，不同品种运输中注意</w:t>
      </w:r>
      <w:r>
        <w:rPr>
          <w:rFonts w:hint="eastAsia"/>
          <w:snapToGrid w:val="0"/>
          <w:color w:val="000000" w:themeColor="text1"/>
          <w:spacing w:val="-1"/>
          <w14:textFill>
            <w14:solidFill>
              <w14:schemeClr w14:val="tx1"/>
            </w14:solidFill>
          </w14:textFill>
        </w:rPr>
        <w:t>事项如下：</w:t>
      </w:r>
    </w:p>
    <w:p w14:paraId="719C0CFA">
      <w:pPr>
        <w:pStyle w:val="132"/>
        <w:rPr>
          <w:snapToGrid w:val="0"/>
        </w:rPr>
      </w:pPr>
      <w:r>
        <w:rPr>
          <w:rFonts w:hint="eastAsia"/>
          <w:snapToGrid w:val="0"/>
        </w:rPr>
        <w:t>赤眼鳟：运输适宜温度为</w:t>
      </w:r>
      <w:bookmarkStart w:id="134" w:name="OLE_LINK16"/>
      <w:bookmarkStart w:id="135" w:name="OLE_LINK15"/>
      <w:r>
        <w:rPr>
          <w:rFonts w:hint="eastAsia"/>
          <w:snapToGrid w:val="0"/>
        </w:rPr>
        <w:t>18</w:t>
      </w:r>
      <w:r>
        <w:rPr>
          <w:snapToGrid w:val="0"/>
          <w:vertAlign w:val="superscript"/>
        </w:rPr>
        <w:t xml:space="preserve"> </w:t>
      </w:r>
      <w:r>
        <w:rPr>
          <w:rFonts w:hint="eastAsia" w:hAnsi="宋体" w:cs="宋体"/>
          <w:snapToGrid w:val="0"/>
        </w:rPr>
        <w:t>℃</w:t>
      </w:r>
      <w:r>
        <w:rPr>
          <w:rFonts w:hint="eastAsia"/>
          <w:snapToGrid w:val="0"/>
        </w:rPr>
        <w:t>～</w:t>
      </w:r>
      <w:bookmarkEnd w:id="134"/>
      <w:bookmarkEnd w:id="135"/>
      <w:r>
        <w:rPr>
          <w:rFonts w:hint="eastAsia"/>
          <w:snapToGrid w:val="0"/>
        </w:rPr>
        <w:t>20</w:t>
      </w:r>
      <w:r>
        <w:rPr>
          <w:snapToGrid w:val="0"/>
          <w:vertAlign w:val="superscript"/>
        </w:rPr>
        <w:t xml:space="preserve"> </w:t>
      </w:r>
      <w:r>
        <w:rPr>
          <w:rFonts w:hint="eastAsia" w:hAnsi="宋体" w:cs="宋体"/>
          <w:snapToGrid w:val="0"/>
        </w:rPr>
        <w:t>℃</w:t>
      </w:r>
      <w:r>
        <w:rPr>
          <w:rFonts w:hint="eastAsia"/>
          <w:snapToGrid w:val="0"/>
        </w:rPr>
        <w:t>，装运密度≤2</w:t>
      </w:r>
      <w:r>
        <w:rPr>
          <w:snapToGrid w:val="0"/>
        </w:rPr>
        <w:t>00</w:t>
      </w:r>
      <w:r>
        <w:rPr>
          <w:rFonts w:ascii="Segoe UI" w:hAnsi="Segoe UI" w:cs="Segoe UI"/>
          <w:kern w:val="2"/>
          <w:sz w:val="23"/>
          <w:szCs w:val="23"/>
          <w:shd w:val="clear" w:color="auto" w:fill="FFFFFF"/>
          <w:vertAlign w:val="superscript"/>
        </w:rPr>
        <w:t xml:space="preserve"> </w:t>
      </w:r>
      <w:r>
        <w:rPr>
          <w:snapToGrid w:val="0"/>
        </w:rPr>
        <w:t>kg/m³</w:t>
      </w:r>
      <w:r>
        <w:rPr>
          <w:rFonts w:hint="eastAsia"/>
          <w:snapToGrid w:val="0"/>
        </w:rPr>
        <w:t>，</w:t>
      </w:r>
      <w:r>
        <w:rPr>
          <w:snapToGrid w:val="0"/>
        </w:rPr>
        <w:t>畏光，运输</w:t>
      </w:r>
      <w:r>
        <w:rPr>
          <w:rFonts w:hint="eastAsia"/>
          <w:snapToGrid w:val="0"/>
        </w:rPr>
        <w:t>不应强光</w:t>
      </w:r>
      <w:r>
        <w:rPr>
          <w:snapToGrid w:val="0"/>
        </w:rPr>
        <w:t>惊扰导致跳撞</w:t>
      </w:r>
      <w:r>
        <w:rPr>
          <w:rFonts w:hint="eastAsia"/>
          <w:snapToGrid w:val="0"/>
        </w:rPr>
        <w:t>；</w:t>
      </w:r>
    </w:p>
    <w:p w14:paraId="03DDF730">
      <w:pPr>
        <w:pStyle w:val="132"/>
        <w:rPr>
          <w:snapToGrid w:val="0"/>
        </w:rPr>
      </w:pPr>
      <w:r>
        <w:rPr>
          <w:rFonts w:hint="eastAsia"/>
          <w:snapToGrid w:val="0"/>
        </w:rPr>
        <w:t>青竹鱼：运输适宜温度为12</w:t>
      </w:r>
      <w:r>
        <w:rPr>
          <w:snapToGrid w:val="0"/>
          <w:vertAlign w:val="superscript"/>
        </w:rPr>
        <w:t xml:space="preserve"> </w:t>
      </w:r>
      <w:r>
        <w:rPr>
          <w:rFonts w:hint="eastAsia" w:hAnsi="宋体" w:cs="宋体"/>
          <w:snapToGrid w:val="0"/>
        </w:rPr>
        <w:t>℃</w:t>
      </w:r>
      <w:bookmarkStart w:id="136" w:name="OLE_LINK20"/>
      <w:bookmarkStart w:id="137" w:name="OLE_LINK21"/>
      <w:r>
        <w:rPr>
          <w:rFonts w:hint="eastAsia"/>
          <w:snapToGrid w:val="0"/>
        </w:rPr>
        <w:t>～</w:t>
      </w:r>
      <w:bookmarkEnd w:id="136"/>
      <w:bookmarkEnd w:id="137"/>
      <w:r>
        <w:rPr>
          <w:snapToGrid w:val="0"/>
        </w:rPr>
        <w:t>1</w:t>
      </w:r>
      <w:r>
        <w:rPr>
          <w:rFonts w:hint="eastAsia"/>
          <w:snapToGrid w:val="0"/>
        </w:rPr>
        <w:t>4</w:t>
      </w:r>
      <w:bookmarkStart w:id="138" w:name="OLE_LINK17"/>
      <w:bookmarkStart w:id="139" w:name="OLE_LINK18"/>
      <w:r>
        <w:rPr>
          <w:snapToGrid w:val="0"/>
          <w:vertAlign w:val="superscript"/>
        </w:rPr>
        <w:t xml:space="preserve"> </w:t>
      </w:r>
      <w:bookmarkEnd w:id="138"/>
      <w:bookmarkEnd w:id="139"/>
      <w:r>
        <w:rPr>
          <w:rFonts w:hint="eastAsia" w:hAnsi="宋体" w:cs="宋体"/>
          <w:snapToGrid w:val="0"/>
        </w:rPr>
        <w:t>℃</w:t>
      </w:r>
      <w:r>
        <w:rPr>
          <w:rFonts w:hint="eastAsia"/>
          <w:snapToGrid w:val="0"/>
        </w:rPr>
        <w:t>，装运密度≤200</w:t>
      </w:r>
      <w:r>
        <w:rPr>
          <w:rFonts w:ascii="Segoe UI" w:hAnsi="Segoe UI" w:cs="Segoe UI"/>
          <w:kern w:val="2"/>
          <w:sz w:val="23"/>
          <w:szCs w:val="23"/>
          <w:shd w:val="clear" w:color="auto" w:fill="FFFFFF"/>
          <w:vertAlign w:val="superscript"/>
        </w:rPr>
        <w:t xml:space="preserve"> </w:t>
      </w:r>
      <w:r>
        <w:rPr>
          <w:snapToGrid w:val="0"/>
        </w:rPr>
        <w:t>kg/m³</w:t>
      </w:r>
      <w:r>
        <w:rPr>
          <w:rFonts w:hint="eastAsia"/>
          <w:snapToGrid w:val="0"/>
        </w:rPr>
        <w:t>，鳞片易脱落，运输箱内衬软质网片；pH维持在7.2～7.5；</w:t>
      </w:r>
    </w:p>
    <w:p w14:paraId="0BB5FF8E">
      <w:pPr>
        <w:pStyle w:val="132"/>
        <w:rPr>
          <w:snapToGrid w:val="0"/>
        </w:rPr>
      </w:pPr>
      <w:r>
        <w:rPr>
          <w:rFonts w:hint="eastAsia"/>
          <w:snapToGrid w:val="0"/>
        </w:rPr>
        <w:t>桂花鱼：运输适宜温度为10</w:t>
      </w:r>
      <w:r>
        <w:rPr>
          <w:snapToGrid w:val="0"/>
          <w:vertAlign w:val="superscript"/>
        </w:rPr>
        <w:t xml:space="preserve"> </w:t>
      </w:r>
      <w:r>
        <w:rPr>
          <w:rFonts w:hint="eastAsia" w:hAnsi="宋体" w:cs="宋体"/>
          <w:snapToGrid w:val="0"/>
        </w:rPr>
        <w:t>℃</w:t>
      </w:r>
      <w:r>
        <w:rPr>
          <w:rFonts w:hint="eastAsia"/>
          <w:snapToGrid w:val="0"/>
        </w:rPr>
        <w:t>～</w:t>
      </w:r>
      <w:r>
        <w:rPr>
          <w:snapToGrid w:val="0"/>
        </w:rPr>
        <w:t>1</w:t>
      </w:r>
      <w:r>
        <w:rPr>
          <w:rFonts w:hint="eastAsia"/>
          <w:snapToGrid w:val="0"/>
        </w:rPr>
        <w:t>2</w:t>
      </w:r>
      <w:r>
        <w:rPr>
          <w:snapToGrid w:val="0"/>
          <w:vertAlign w:val="superscript"/>
        </w:rPr>
        <w:t xml:space="preserve"> </w:t>
      </w:r>
      <w:r>
        <w:rPr>
          <w:rFonts w:hint="eastAsia" w:hAnsi="宋体" w:cs="宋体"/>
          <w:snapToGrid w:val="0"/>
        </w:rPr>
        <w:t>℃</w:t>
      </w:r>
      <w:r>
        <w:rPr>
          <w:rFonts w:hint="eastAsia"/>
          <w:snapToGrid w:val="0"/>
        </w:rPr>
        <w:t>，装运密度</w:t>
      </w:r>
      <w:bookmarkStart w:id="140" w:name="OLE_LINK23"/>
      <w:bookmarkStart w:id="141" w:name="OLE_LINK24"/>
      <w:r>
        <w:rPr>
          <w:rFonts w:hint="eastAsia"/>
          <w:snapToGrid w:val="0"/>
        </w:rPr>
        <w:t>≤</w:t>
      </w:r>
      <w:bookmarkEnd w:id="140"/>
      <w:bookmarkEnd w:id="141"/>
      <w:r>
        <w:rPr>
          <w:rFonts w:hint="eastAsia"/>
          <w:snapToGrid w:val="0"/>
        </w:rPr>
        <w:t>150</w:t>
      </w:r>
      <w:r>
        <w:rPr>
          <w:rFonts w:ascii="Segoe UI" w:hAnsi="Segoe UI" w:cs="Segoe UI"/>
          <w:kern w:val="2"/>
          <w:sz w:val="23"/>
          <w:szCs w:val="23"/>
          <w:shd w:val="clear" w:color="auto" w:fill="FFFFFF"/>
          <w:vertAlign w:val="superscript"/>
        </w:rPr>
        <w:t xml:space="preserve"> </w:t>
      </w:r>
      <w:r>
        <w:rPr>
          <w:snapToGrid w:val="0"/>
        </w:rPr>
        <w:t>kg/m³</w:t>
      </w:r>
      <w:r>
        <w:rPr>
          <w:rFonts w:hint="eastAsia"/>
          <w:snapToGrid w:val="0"/>
        </w:rPr>
        <w:t>，应激反应强，装运前宜添加5‰食盐抗应激；不应使用金属钩具；</w:t>
      </w:r>
    </w:p>
    <w:p w14:paraId="4226AEF4">
      <w:pPr>
        <w:pStyle w:val="132"/>
        <w:rPr>
          <w:snapToGrid w:val="0"/>
        </w:rPr>
      </w:pPr>
      <w:r>
        <w:rPr>
          <w:rFonts w:hint="eastAsia"/>
          <w:snapToGrid w:val="0"/>
        </w:rPr>
        <w:t>黄肉鲤鱼：运输适宜温度为6</w:t>
      </w:r>
      <w:r>
        <w:rPr>
          <w:snapToGrid w:val="0"/>
          <w:vertAlign w:val="superscript"/>
        </w:rPr>
        <w:t xml:space="preserve"> </w:t>
      </w:r>
      <w:r>
        <w:rPr>
          <w:rFonts w:hint="eastAsia" w:hAnsi="宋体" w:cs="宋体"/>
          <w:snapToGrid w:val="0"/>
        </w:rPr>
        <w:t>℃</w:t>
      </w:r>
      <w:r>
        <w:rPr>
          <w:rFonts w:hint="eastAsia"/>
          <w:snapToGrid w:val="0"/>
        </w:rPr>
        <w:t>～8</w:t>
      </w:r>
      <w:bookmarkStart w:id="142" w:name="OLE_LINK19"/>
      <w:r>
        <w:rPr>
          <w:snapToGrid w:val="0"/>
          <w:vertAlign w:val="superscript"/>
        </w:rPr>
        <w:t xml:space="preserve"> </w:t>
      </w:r>
      <w:r>
        <w:rPr>
          <w:rFonts w:hint="eastAsia" w:hAnsi="宋体" w:cs="宋体"/>
          <w:snapToGrid w:val="0"/>
        </w:rPr>
        <w:t>℃</w:t>
      </w:r>
      <w:bookmarkEnd w:id="142"/>
      <w:r>
        <w:rPr>
          <w:rFonts w:hint="eastAsia"/>
          <w:snapToGrid w:val="0"/>
        </w:rPr>
        <w:t>，装运密度≤200</w:t>
      </w:r>
      <w:r>
        <w:rPr>
          <w:rFonts w:ascii="Segoe UI" w:hAnsi="Segoe UI" w:cs="Segoe UI"/>
          <w:kern w:val="2"/>
          <w:sz w:val="23"/>
          <w:szCs w:val="23"/>
          <w:shd w:val="clear" w:color="auto" w:fill="FFFFFF"/>
          <w:vertAlign w:val="superscript"/>
        </w:rPr>
        <w:t xml:space="preserve"> </w:t>
      </w:r>
      <w:r>
        <w:rPr>
          <w:snapToGrid w:val="0"/>
        </w:rPr>
        <w:t>kg/m³</w:t>
      </w:r>
      <w:r>
        <w:rPr>
          <w:rFonts w:hint="eastAsia"/>
          <w:snapToGrid w:val="0"/>
        </w:rPr>
        <w:t>，</w:t>
      </w:r>
      <w:r>
        <w:rPr>
          <w:snapToGrid w:val="0"/>
        </w:rPr>
        <w:t>体表黏液多，每2</w:t>
      </w:r>
      <w:r>
        <w:rPr>
          <w:snapToGrid w:val="0"/>
          <w:vertAlign w:val="superscript"/>
        </w:rPr>
        <w:t xml:space="preserve"> </w:t>
      </w:r>
      <w:r>
        <w:rPr>
          <w:snapToGrid w:val="0"/>
        </w:rPr>
        <w:t>h检查水体黏度（限值：拉丝</w:t>
      </w:r>
      <w:r>
        <w:rPr>
          <w:rFonts w:hint="eastAsia"/>
          <w:snapToGrid w:val="0"/>
        </w:rPr>
        <w:t>≤</w:t>
      </w:r>
      <w:r>
        <w:rPr>
          <w:snapToGrid w:val="0"/>
        </w:rPr>
        <w:t>5</w:t>
      </w:r>
      <w:r>
        <w:rPr>
          <w:snapToGrid w:val="0"/>
          <w:vertAlign w:val="superscript"/>
        </w:rPr>
        <w:t xml:space="preserve"> </w:t>
      </w:r>
      <w:r>
        <w:rPr>
          <w:snapToGrid w:val="0"/>
        </w:rPr>
        <w:t>cm）</w:t>
      </w:r>
      <w:r>
        <w:rPr>
          <w:rFonts w:hint="eastAsia"/>
          <w:snapToGrid w:val="0"/>
        </w:rPr>
        <w:t>；</w:t>
      </w:r>
    </w:p>
    <w:p w14:paraId="697E39E5">
      <w:pPr>
        <w:pStyle w:val="132"/>
        <w:rPr>
          <w:snapToGrid w:val="0"/>
        </w:rPr>
      </w:pPr>
      <w:r>
        <w:rPr>
          <w:rFonts w:hint="eastAsia"/>
          <w:snapToGrid w:val="0"/>
        </w:rPr>
        <w:t>草鱼：运输适宜温度为10</w:t>
      </w:r>
      <w:r>
        <w:rPr>
          <w:snapToGrid w:val="0"/>
          <w:vertAlign w:val="superscript"/>
        </w:rPr>
        <w:t xml:space="preserve"> </w:t>
      </w:r>
      <w:r>
        <w:rPr>
          <w:rFonts w:hint="eastAsia" w:hAnsi="宋体" w:cs="宋体"/>
          <w:snapToGrid w:val="0"/>
        </w:rPr>
        <w:t>℃</w:t>
      </w:r>
      <w:r>
        <w:rPr>
          <w:rFonts w:hint="eastAsia"/>
          <w:snapToGrid w:val="0"/>
        </w:rPr>
        <w:t>～</w:t>
      </w:r>
      <w:r>
        <w:rPr>
          <w:snapToGrid w:val="0"/>
        </w:rPr>
        <w:t>1</w:t>
      </w:r>
      <w:r>
        <w:rPr>
          <w:rFonts w:hint="eastAsia"/>
          <w:snapToGrid w:val="0"/>
        </w:rPr>
        <w:t>2</w:t>
      </w:r>
      <w:r>
        <w:rPr>
          <w:snapToGrid w:val="0"/>
          <w:vertAlign w:val="superscript"/>
        </w:rPr>
        <w:t xml:space="preserve"> </w:t>
      </w:r>
      <w:r>
        <w:rPr>
          <w:rFonts w:hint="eastAsia" w:hAnsi="宋体" w:cs="宋体"/>
          <w:snapToGrid w:val="0"/>
        </w:rPr>
        <w:t>℃</w:t>
      </w:r>
      <w:r>
        <w:rPr>
          <w:rFonts w:hint="eastAsia"/>
          <w:snapToGrid w:val="0"/>
        </w:rPr>
        <w:t>，装运密度≤250</w:t>
      </w:r>
      <w:r>
        <w:rPr>
          <w:rFonts w:ascii="Segoe UI" w:hAnsi="Segoe UI" w:cs="Segoe UI"/>
          <w:kern w:val="2"/>
          <w:sz w:val="23"/>
          <w:szCs w:val="23"/>
          <w:shd w:val="clear" w:color="auto" w:fill="FFFFFF"/>
          <w:vertAlign w:val="superscript"/>
        </w:rPr>
        <w:t xml:space="preserve"> </w:t>
      </w:r>
      <w:r>
        <w:rPr>
          <w:snapToGrid w:val="0"/>
        </w:rPr>
        <w:t>kg/m³</w:t>
      </w:r>
      <w:r>
        <w:rPr>
          <w:rFonts w:hint="eastAsia"/>
          <w:snapToGrid w:val="0"/>
        </w:rPr>
        <w:t>，</w:t>
      </w:r>
      <w:r>
        <w:rPr>
          <w:snapToGrid w:val="0"/>
        </w:rPr>
        <w:t>运输前停食72</w:t>
      </w:r>
      <w:bookmarkStart w:id="143" w:name="OLE_LINK14"/>
      <w:bookmarkStart w:id="144" w:name="OLE_LINK13"/>
      <w:r>
        <w:rPr>
          <w:rFonts w:hint="eastAsia"/>
          <w:snapToGrid w:val="0"/>
          <w:vertAlign w:val="superscript"/>
        </w:rPr>
        <w:t xml:space="preserve"> </w:t>
      </w:r>
      <w:r>
        <w:rPr>
          <w:snapToGrid w:val="0"/>
        </w:rPr>
        <w:t>h</w:t>
      </w:r>
      <w:bookmarkEnd w:id="143"/>
      <w:bookmarkEnd w:id="144"/>
      <w:r>
        <w:rPr>
          <w:snapToGrid w:val="0"/>
        </w:rPr>
        <w:t>，彻底排空肠道</w:t>
      </w:r>
      <w:r>
        <w:rPr>
          <w:rFonts w:hint="eastAsia"/>
          <w:snapToGrid w:val="0"/>
        </w:rPr>
        <w:t>；</w:t>
      </w:r>
    </w:p>
    <w:p w14:paraId="4E418CCD">
      <w:pPr>
        <w:pStyle w:val="132"/>
        <w:rPr>
          <w:snapToGrid w:val="0"/>
        </w:rPr>
      </w:pPr>
      <w:r>
        <w:rPr>
          <w:rFonts w:hint="eastAsia"/>
          <w:snapToGrid w:val="0"/>
        </w:rPr>
        <w:t>罗非鱼：运输适宜温度为20</w:t>
      </w:r>
      <w:r>
        <w:rPr>
          <w:snapToGrid w:val="0"/>
          <w:vertAlign w:val="superscript"/>
        </w:rPr>
        <w:t xml:space="preserve"> </w:t>
      </w:r>
      <w:r>
        <w:rPr>
          <w:rFonts w:hint="eastAsia" w:hAnsi="宋体" w:cs="宋体"/>
          <w:snapToGrid w:val="0"/>
        </w:rPr>
        <w:t>℃</w:t>
      </w:r>
      <w:r>
        <w:rPr>
          <w:rFonts w:hint="eastAsia"/>
          <w:snapToGrid w:val="0"/>
        </w:rPr>
        <w:t>～22</w:t>
      </w:r>
      <w:bookmarkStart w:id="145" w:name="OLE_LINK22"/>
      <w:r>
        <w:rPr>
          <w:snapToGrid w:val="0"/>
          <w:vertAlign w:val="superscript"/>
        </w:rPr>
        <w:t xml:space="preserve"> </w:t>
      </w:r>
      <w:r>
        <w:rPr>
          <w:rFonts w:hint="eastAsia" w:hAnsi="宋体" w:cs="宋体"/>
          <w:snapToGrid w:val="0"/>
        </w:rPr>
        <w:t>℃</w:t>
      </w:r>
      <w:bookmarkEnd w:id="145"/>
      <w:r>
        <w:rPr>
          <w:rFonts w:hint="eastAsia"/>
          <w:snapToGrid w:val="0"/>
        </w:rPr>
        <w:t>，装运密度≤250</w:t>
      </w:r>
      <w:r>
        <w:rPr>
          <w:rFonts w:ascii="Segoe UI" w:hAnsi="Segoe UI" w:cs="Segoe UI"/>
          <w:kern w:val="2"/>
          <w:sz w:val="23"/>
          <w:szCs w:val="23"/>
          <w:shd w:val="clear" w:color="auto" w:fill="FFFFFF"/>
          <w:vertAlign w:val="superscript"/>
        </w:rPr>
        <w:t xml:space="preserve"> </w:t>
      </w:r>
      <w:r>
        <w:rPr>
          <w:snapToGrid w:val="0"/>
        </w:rPr>
        <w:t>kg/m³</w:t>
      </w:r>
      <w:r>
        <w:rPr>
          <w:rFonts w:hint="eastAsia"/>
          <w:snapToGrid w:val="0"/>
        </w:rPr>
        <w:t>，</w:t>
      </w:r>
      <w:r>
        <w:rPr>
          <w:snapToGrid w:val="0"/>
        </w:rPr>
        <w:t>耐低氧，但</w:t>
      </w:r>
      <w:r>
        <w:rPr>
          <w:rFonts w:hint="eastAsia"/>
          <w:snapToGrid w:val="0"/>
        </w:rPr>
        <w:t>应</w:t>
      </w:r>
      <w:r>
        <w:rPr>
          <w:snapToGrid w:val="0"/>
        </w:rPr>
        <w:t>防冻伤（最低水温</w:t>
      </w:r>
      <w:r>
        <w:rPr>
          <w:rFonts w:hAnsi="宋体"/>
          <w:snapToGrid w:val="0"/>
        </w:rPr>
        <w:t>≥</w:t>
      </w:r>
      <w:r>
        <w:rPr>
          <w:snapToGrid w:val="0"/>
        </w:rPr>
        <w:t>16</w:t>
      </w:r>
      <w:r>
        <w:rPr>
          <w:snapToGrid w:val="0"/>
          <w:vertAlign w:val="superscript"/>
        </w:rPr>
        <w:t xml:space="preserve"> </w:t>
      </w:r>
      <w:r>
        <w:rPr>
          <w:rFonts w:hint="eastAsia" w:hAnsi="宋体" w:cs="宋体"/>
          <w:snapToGrid w:val="0"/>
        </w:rPr>
        <w:t>℃</w:t>
      </w:r>
      <w:r>
        <w:rPr>
          <w:snapToGrid w:val="0"/>
        </w:rPr>
        <w:t>）；每4</w:t>
      </w:r>
      <w:r>
        <w:rPr>
          <w:snapToGrid w:val="0"/>
          <w:vertAlign w:val="superscript"/>
        </w:rPr>
        <w:t xml:space="preserve"> </w:t>
      </w:r>
      <w:r>
        <w:rPr>
          <w:snapToGrid w:val="0"/>
        </w:rPr>
        <w:t>h查体表充血</w:t>
      </w:r>
      <w:r>
        <w:rPr>
          <w:rFonts w:hint="eastAsia"/>
          <w:snapToGrid w:val="0"/>
        </w:rPr>
        <w:t>；</w:t>
      </w:r>
    </w:p>
    <w:p w14:paraId="23E497F7">
      <w:pPr>
        <w:pStyle w:val="132"/>
        <w:rPr>
          <w:snapToGrid w:val="0"/>
        </w:rPr>
      </w:pPr>
      <w:r>
        <w:rPr>
          <w:rFonts w:hint="eastAsia"/>
          <w:snapToGrid w:val="0"/>
        </w:rPr>
        <w:t>蓝刀鱼：</w:t>
      </w:r>
      <w:bookmarkEnd w:id="132"/>
      <w:bookmarkEnd w:id="133"/>
      <w:r>
        <w:rPr>
          <w:rFonts w:hint="eastAsia"/>
          <w:snapToGrid w:val="0"/>
        </w:rPr>
        <w:t>运输适宜温度为5</w:t>
      </w:r>
      <w:r>
        <w:rPr>
          <w:snapToGrid w:val="0"/>
          <w:vertAlign w:val="superscript"/>
        </w:rPr>
        <w:t xml:space="preserve"> </w:t>
      </w:r>
      <w:r>
        <w:rPr>
          <w:rFonts w:hint="eastAsia" w:hAnsi="宋体" w:cs="宋体"/>
          <w:snapToGrid w:val="0"/>
        </w:rPr>
        <w:t>℃</w:t>
      </w:r>
      <w:r>
        <w:rPr>
          <w:rFonts w:hint="eastAsia"/>
          <w:snapToGrid w:val="0"/>
        </w:rPr>
        <w:t>～6</w:t>
      </w:r>
      <w:r>
        <w:rPr>
          <w:snapToGrid w:val="0"/>
          <w:vertAlign w:val="superscript"/>
        </w:rPr>
        <w:t xml:space="preserve"> </w:t>
      </w:r>
      <w:r>
        <w:rPr>
          <w:rFonts w:hint="eastAsia" w:hAnsi="宋体" w:cs="宋体"/>
          <w:snapToGrid w:val="0"/>
        </w:rPr>
        <w:t>℃</w:t>
      </w:r>
      <w:r>
        <w:rPr>
          <w:rFonts w:hint="eastAsia"/>
          <w:snapToGrid w:val="0"/>
        </w:rPr>
        <w:t>，装运密度≤150</w:t>
      </w:r>
      <w:r>
        <w:rPr>
          <w:rFonts w:ascii="Segoe UI" w:hAnsi="Segoe UI" w:cs="Segoe UI"/>
          <w:kern w:val="2"/>
          <w:sz w:val="23"/>
          <w:szCs w:val="23"/>
          <w:shd w:val="clear" w:color="auto" w:fill="FFFFFF"/>
          <w:vertAlign w:val="superscript"/>
        </w:rPr>
        <w:t xml:space="preserve"> </w:t>
      </w:r>
      <w:r>
        <w:rPr>
          <w:snapToGrid w:val="0"/>
        </w:rPr>
        <w:t>kg/m³</w:t>
      </w:r>
      <w:r>
        <w:rPr>
          <w:rFonts w:hint="eastAsia"/>
          <w:snapToGrid w:val="0"/>
        </w:rPr>
        <w:t>，</w:t>
      </w:r>
      <w:r>
        <w:rPr>
          <w:snapToGrid w:val="0"/>
        </w:rPr>
        <w:t>体型小易缺氧，密度减半；双层网袋分装防挤压</w:t>
      </w:r>
      <w:r>
        <w:rPr>
          <w:rFonts w:hint="eastAsia"/>
          <w:snapToGrid w:val="0"/>
        </w:rPr>
        <w:t>。</w:t>
      </w:r>
    </w:p>
    <w:p w14:paraId="01566091">
      <w:pPr>
        <w:pStyle w:val="132"/>
        <w:numPr>
          <w:ilvl w:val="0"/>
          <w:numId w:val="0"/>
        </w:numPr>
        <w:ind w:left="425"/>
        <w:rPr>
          <w:snapToGrid w:val="0"/>
        </w:rPr>
      </w:pPr>
    </w:p>
    <w:p w14:paraId="41F7CF7D">
      <w:pPr>
        <w:pStyle w:val="104"/>
        <w:spacing w:before="240" w:after="240"/>
        <w:rPr>
          <w:snapToGrid w:val="0"/>
        </w:rPr>
      </w:pPr>
      <w:bookmarkStart w:id="146" w:name="OLE_LINK7"/>
      <w:bookmarkStart w:id="147" w:name="OLE_LINK26"/>
      <w:bookmarkStart w:id="148" w:name="_Toc207978096"/>
      <w:bookmarkStart w:id="149" w:name="_Toc206588619"/>
      <w:bookmarkStart w:id="150" w:name="_Toc207213873"/>
      <w:bookmarkStart w:id="151" w:name="OLE_LINK5"/>
      <w:bookmarkStart w:id="152" w:name="_Toc207294318"/>
      <w:bookmarkStart w:id="153" w:name="_Toc207285738"/>
      <w:r>
        <w:rPr>
          <w:snapToGrid w:val="0"/>
        </w:rPr>
        <w:t>特色</w:t>
      </w:r>
      <w:r>
        <w:rPr>
          <w:rFonts w:hint="eastAsia"/>
          <w:snapToGrid w:val="0"/>
        </w:rPr>
        <w:t>辅料</w:t>
      </w:r>
      <w:bookmarkEnd w:id="146"/>
      <w:bookmarkEnd w:id="147"/>
      <w:r>
        <w:rPr>
          <w:snapToGrid w:val="0"/>
        </w:rPr>
        <w:t>运输要求</w:t>
      </w:r>
      <w:bookmarkEnd w:id="148"/>
      <w:bookmarkEnd w:id="149"/>
      <w:bookmarkEnd w:id="150"/>
      <w:bookmarkEnd w:id="151"/>
      <w:bookmarkEnd w:id="152"/>
      <w:bookmarkEnd w:id="153"/>
    </w:p>
    <w:p w14:paraId="526EEBD0">
      <w:pPr>
        <w:pStyle w:val="105"/>
        <w:spacing w:before="120" w:after="120"/>
        <w:rPr>
          <w:snapToGrid w:val="0"/>
        </w:rPr>
      </w:pPr>
      <w:bookmarkStart w:id="154" w:name="_Toc207294319"/>
      <w:bookmarkStart w:id="155" w:name="_Toc207978097"/>
      <w:bookmarkStart w:id="156" w:name="_Toc207285739"/>
      <w:bookmarkStart w:id="157" w:name="_Toc207213874"/>
      <w:bookmarkStart w:id="158" w:name="_Hlk206546972"/>
      <w:bookmarkStart w:id="159" w:name="_Toc206588620"/>
      <w:r>
        <w:rPr>
          <w:snapToGrid w:val="0"/>
        </w:rPr>
        <w:t>分类运输条件</w:t>
      </w:r>
      <w:bookmarkEnd w:id="154"/>
      <w:bookmarkEnd w:id="155"/>
      <w:bookmarkEnd w:id="156"/>
      <w:bookmarkEnd w:id="157"/>
      <w:bookmarkEnd w:id="158"/>
      <w:bookmarkEnd w:id="159"/>
    </w:p>
    <w:p w14:paraId="0D24454F">
      <w:pPr>
        <w:pStyle w:val="56"/>
        <w:ind w:firstLine="420"/>
        <w:rPr>
          <w:snapToGrid w:val="0"/>
        </w:rPr>
      </w:pPr>
      <w:r>
        <w:rPr>
          <w:rFonts w:hint="eastAsia"/>
          <w:snapToGrid w:val="0"/>
        </w:rPr>
        <w:t>辅料</w:t>
      </w:r>
      <w:r>
        <w:rPr>
          <w:snapToGrid w:val="0"/>
        </w:rPr>
        <w:t>运输</w:t>
      </w:r>
      <w:r>
        <w:rPr>
          <w:rFonts w:hint="eastAsia"/>
          <w:snapToGrid w:val="0"/>
        </w:rPr>
        <w:t>车辆应干净卫生，无虫鼠害迹象。车辆配备相应的制冷及保温设施，以确保运输途中温度恒定</w:t>
      </w:r>
      <w:r>
        <w:rPr>
          <w:snapToGrid w:val="0"/>
        </w:rPr>
        <w:t>。</w:t>
      </w:r>
      <w:r>
        <w:rPr>
          <w:rFonts w:hint="eastAsia"/>
          <w:snapToGrid w:val="0"/>
        </w:rPr>
        <w:t>运输作业应防止污染，不应与有毒有害物品混装。盛装辅料的容器应无毒、不受污染，符合卫生要求。对于生鲜植物辅料等需温控的辅料，运输途中温度应控制在2℃至8℃。</w:t>
      </w:r>
    </w:p>
    <w:p w14:paraId="6F55729B">
      <w:pPr>
        <w:pStyle w:val="105"/>
        <w:spacing w:before="120" w:after="120"/>
      </w:pPr>
      <w:bookmarkStart w:id="160" w:name="_Toc207294320"/>
      <w:bookmarkEnd w:id="160"/>
      <w:bookmarkStart w:id="161" w:name="_Toc207285740"/>
      <w:bookmarkEnd w:id="161"/>
      <w:bookmarkStart w:id="162" w:name="_Toc207294346"/>
      <w:bookmarkStart w:id="163" w:name="_Toc206588621"/>
      <w:bookmarkStart w:id="164" w:name="_Toc207213875"/>
      <w:bookmarkStart w:id="165" w:name="_Toc207285766"/>
      <w:bookmarkStart w:id="166" w:name="_Toc207978098"/>
      <w:r>
        <w:rPr>
          <w:rFonts w:hint="eastAsia"/>
        </w:rPr>
        <w:t>卫生控制</w:t>
      </w:r>
      <w:bookmarkEnd w:id="162"/>
      <w:bookmarkEnd w:id="163"/>
      <w:bookmarkEnd w:id="164"/>
      <w:bookmarkEnd w:id="165"/>
      <w:bookmarkEnd w:id="166"/>
    </w:p>
    <w:p w14:paraId="41EF32FB">
      <w:pPr>
        <w:pStyle w:val="65"/>
        <w:spacing w:before="120" w:after="120"/>
      </w:pPr>
      <w:r>
        <w:rPr>
          <w:rFonts w:hint="eastAsia"/>
        </w:rPr>
        <w:t>隔离运输</w:t>
      </w:r>
    </w:p>
    <w:p w14:paraId="0804954E">
      <w:pPr>
        <w:pStyle w:val="56"/>
        <w:spacing w:before="120" w:after="120"/>
        <w:ind w:firstLine="420"/>
      </w:pPr>
      <w:bookmarkStart w:id="167" w:name="_Hlk207480639"/>
      <w:r>
        <w:rPr>
          <w:rFonts w:hint="eastAsia"/>
        </w:rPr>
        <w:t>生鲜植物类辅料（青料）、腌制及发酵制品、调味品</w:t>
      </w:r>
      <w:bookmarkEnd w:id="167"/>
      <w:r>
        <w:rPr>
          <w:rFonts w:hint="eastAsia"/>
        </w:rPr>
        <w:t>运输过程应进行物理分隔。</w:t>
      </w:r>
    </w:p>
    <w:p w14:paraId="41D524AB">
      <w:pPr>
        <w:pStyle w:val="65"/>
        <w:spacing w:before="120" w:after="120"/>
      </w:pPr>
      <w:r>
        <w:rPr>
          <w:rFonts w:hint="eastAsia"/>
        </w:rPr>
        <w:t>交叉污染预防</w:t>
      </w:r>
    </w:p>
    <w:p w14:paraId="12AF4D9C">
      <w:pPr>
        <w:pStyle w:val="56"/>
        <w:spacing w:before="120" w:after="120"/>
        <w:ind w:firstLine="420"/>
      </w:pPr>
      <w:r>
        <w:rPr>
          <w:rFonts w:hint="eastAsia"/>
        </w:rPr>
        <w:t>装卸工具按色标管理（生鲜植物类辅料（青料）</w:t>
      </w:r>
      <w:r>
        <w:rPr>
          <w:rFonts w:hint="eastAsia"/>
          <w:lang w:eastAsia="zh-CN"/>
        </w:rPr>
        <w:t>为</w:t>
      </w:r>
      <w:r>
        <w:rPr>
          <w:rFonts w:hint="eastAsia"/>
        </w:rPr>
        <w:t>绿色、腌制及发酵制品</w:t>
      </w:r>
      <w:r>
        <w:rPr>
          <w:rFonts w:hint="eastAsia"/>
          <w:lang w:eastAsia="zh-CN"/>
        </w:rPr>
        <w:t>为</w:t>
      </w:r>
      <w:r>
        <w:rPr>
          <w:rFonts w:hint="eastAsia"/>
        </w:rPr>
        <w:t>黄色、调味品</w:t>
      </w:r>
      <w:r>
        <w:rPr>
          <w:rFonts w:hint="eastAsia"/>
          <w:lang w:eastAsia="zh-CN"/>
        </w:rPr>
        <w:t>为</w:t>
      </w:r>
      <w:bookmarkStart w:id="234" w:name="_GoBack"/>
      <w:bookmarkEnd w:id="234"/>
      <w:r>
        <w:rPr>
          <w:rFonts w:hint="eastAsia"/>
        </w:rPr>
        <w:t>蓝色），使用后以80</w:t>
      </w:r>
      <w:r>
        <w:rPr>
          <w:vertAlign w:val="superscript"/>
        </w:rPr>
        <w:t xml:space="preserve"> </w:t>
      </w:r>
      <w:r>
        <w:rPr>
          <w:rFonts w:hint="eastAsia"/>
        </w:rPr>
        <w:t>℃热水冲洗10</w:t>
      </w:r>
      <w:r>
        <w:rPr>
          <w:rFonts w:hint="eastAsia"/>
          <w:vertAlign w:val="superscript"/>
        </w:rPr>
        <w:t xml:space="preserve"> </w:t>
      </w:r>
      <w:r>
        <w:t>min</w:t>
      </w:r>
      <w:r>
        <w:rPr>
          <w:rFonts w:hint="eastAsia"/>
        </w:rPr>
        <w:t>；</w:t>
      </w:r>
    </w:p>
    <w:p w14:paraId="740E165A">
      <w:pPr>
        <w:pStyle w:val="105"/>
        <w:spacing w:before="120" w:after="120"/>
      </w:pPr>
      <w:bookmarkStart w:id="168" w:name="_Toc206588622"/>
      <w:bookmarkStart w:id="169" w:name="_Toc207285767"/>
      <w:bookmarkStart w:id="170" w:name="_Toc207978099"/>
      <w:bookmarkStart w:id="171" w:name="_Toc207213876"/>
      <w:bookmarkStart w:id="172" w:name="_Toc207294347"/>
      <w:r>
        <w:rPr>
          <w:rFonts w:hint="eastAsia"/>
        </w:rPr>
        <w:t>微生物控制</w:t>
      </w:r>
      <w:bookmarkEnd w:id="168"/>
      <w:bookmarkEnd w:id="169"/>
      <w:bookmarkEnd w:id="170"/>
      <w:bookmarkEnd w:id="171"/>
      <w:bookmarkEnd w:id="172"/>
    </w:p>
    <w:p w14:paraId="680FA1B3">
      <w:pPr>
        <w:pStyle w:val="56"/>
        <w:spacing w:before="120" w:after="120"/>
        <w:ind w:firstLine="420"/>
      </w:pPr>
      <w:r>
        <w:rPr>
          <w:rFonts w:hint="eastAsia"/>
        </w:rPr>
        <w:t>每周涂抹检测辅料运输舱内壁，菌落总数≤100</w:t>
      </w:r>
      <w:r>
        <w:rPr>
          <w:vertAlign w:val="superscript"/>
        </w:rPr>
        <w:t xml:space="preserve"> </w:t>
      </w:r>
      <w:r>
        <w:rPr>
          <w:rFonts w:hint="eastAsia"/>
        </w:rPr>
        <w:t>CFU/cm²，致病菌不得检出。</w:t>
      </w:r>
    </w:p>
    <w:p w14:paraId="5BC2E453">
      <w:pPr>
        <w:pStyle w:val="104"/>
        <w:spacing w:before="240" w:after="240"/>
      </w:pPr>
      <w:bookmarkStart w:id="173" w:name="_Toc207213877"/>
      <w:bookmarkStart w:id="174" w:name="_Toc206588623"/>
      <w:bookmarkStart w:id="175" w:name="_Toc207285768"/>
      <w:bookmarkStart w:id="176" w:name="_Toc207978100"/>
      <w:bookmarkStart w:id="177" w:name="_Toc207294348"/>
      <w:bookmarkStart w:id="178" w:name="_Hlk207480187"/>
      <w:r>
        <w:rPr>
          <w:rFonts w:hint="eastAsia"/>
        </w:rPr>
        <w:t>卸载与交接要求</w:t>
      </w:r>
      <w:bookmarkEnd w:id="173"/>
      <w:bookmarkEnd w:id="174"/>
      <w:bookmarkEnd w:id="175"/>
      <w:bookmarkEnd w:id="176"/>
      <w:bookmarkEnd w:id="177"/>
    </w:p>
    <w:bookmarkEnd w:id="178"/>
    <w:p w14:paraId="2DE18943">
      <w:pPr>
        <w:pStyle w:val="105"/>
        <w:spacing w:before="120" w:after="120"/>
      </w:pPr>
      <w:bookmarkStart w:id="179" w:name="_Toc207213878"/>
      <w:bookmarkStart w:id="180" w:name="_Toc207294349"/>
      <w:bookmarkStart w:id="181" w:name="_Toc206588624"/>
      <w:bookmarkStart w:id="182" w:name="_Toc207285769"/>
      <w:bookmarkStart w:id="183" w:name="_Toc207978101"/>
      <w:r>
        <w:rPr>
          <w:rFonts w:hint="eastAsia"/>
        </w:rPr>
        <w:t>鱼生用鱼装卸操作及交接验证</w:t>
      </w:r>
      <w:bookmarkEnd w:id="179"/>
      <w:bookmarkEnd w:id="180"/>
      <w:bookmarkEnd w:id="181"/>
      <w:bookmarkEnd w:id="182"/>
      <w:bookmarkEnd w:id="183"/>
    </w:p>
    <w:p w14:paraId="3E9AE993">
      <w:pPr>
        <w:pStyle w:val="165"/>
      </w:pPr>
      <w:r>
        <w:rPr>
          <w:rFonts w:hint="eastAsia"/>
        </w:rPr>
        <w:t>采用软质抄网（网线直径≤0.5</w:t>
      </w:r>
      <w:bookmarkStart w:id="184" w:name="OLE_LINK92"/>
      <w:r>
        <w:rPr>
          <w:snapToGrid w:val="0"/>
          <w:spacing w:val="-11"/>
          <w:vertAlign w:val="superscript"/>
        </w:rPr>
        <w:t xml:space="preserve"> </w:t>
      </w:r>
      <w:bookmarkEnd w:id="184"/>
      <w:r>
        <w:rPr>
          <w:rFonts w:hint="eastAsia"/>
        </w:rPr>
        <w:t>mm）转运活鱼，不应钩抓、抛掷鱼体。卸载时鱼体离水时间不宜超过10</w:t>
      </w:r>
      <w:r>
        <w:rPr>
          <w:rFonts w:hint="eastAsia"/>
          <w:vertAlign w:val="superscript"/>
        </w:rPr>
        <w:t xml:space="preserve"> </w:t>
      </w:r>
      <w:r>
        <w:rPr>
          <w:rFonts w:hint="eastAsia"/>
        </w:rPr>
        <w:t>s。横县鱼生用鱼运达目的地后，应根据不同的品种，投放在适宜的水体中暂养。</w:t>
      </w:r>
    </w:p>
    <w:p w14:paraId="6ACDF36A">
      <w:pPr>
        <w:pStyle w:val="165"/>
      </w:pPr>
      <w:r>
        <w:rPr>
          <w:rFonts w:hint="eastAsia"/>
        </w:rPr>
        <w:t>交接后查验鱼体完整性，鱼皮无破损。</w:t>
      </w:r>
    </w:p>
    <w:p w14:paraId="00E80CD2">
      <w:pPr>
        <w:pStyle w:val="105"/>
        <w:spacing w:before="120" w:after="120"/>
      </w:pPr>
      <w:bookmarkStart w:id="185" w:name="_Toc207285770"/>
      <w:bookmarkStart w:id="186" w:name="_Toc207294350"/>
      <w:bookmarkStart w:id="187" w:name="_Toc207213879"/>
      <w:bookmarkStart w:id="188" w:name="_Toc207978102"/>
      <w:bookmarkStart w:id="189" w:name="_Toc206588625"/>
      <w:r>
        <w:rPr>
          <w:rFonts w:hint="eastAsia"/>
        </w:rPr>
        <w:t>特色辅料装卸操作及交接验证</w:t>
      </w:r>
      <w:bookmarkEnd w:id="185"/>
      <w:bookmarkEnd w:id="186"/>
      <w:bookmarkEnd w:id="187"/>
      <w:bookmarkEnd w:id="188"/>
      <w:bookmarkEnd w:id="189"/>
    </w:p>
    <w:p w14:paraId="5E5FD867">
      <w:pPr>
        <w:pStyle w:val="56"/>
        <w:ind w:firstLine="420"/>
      </w:pPr>
      <w:r>
        <w:rPr>
          <w:rFonts w:hint="eastAsia"/>
        </w:rPr>
        <w:t>特色辅料搬运过程应轻拿轻放，不应损坏包装物及原料。若包装发生破损，应立即采取有效密封措施或优先处理使用。辅料交接时进行验收检查，对包装破损、感官异常或验证不合格的辅料，应拒绝接收，并隔离存放，清晰标识，按相关规定处理。</w:t>
      </w:r>
    </w:p>
    <w:p w14:paraId="5B943CA7">
      <w:pPr>
        <w:pStyle w:val="104"/>
        <w:spacing w:before="240" w:after="240"/>
      </w:pPr>
      <w:bookmarkStart w:id="190" w:name="_Toc207213880"/>
      <w:bookmarkStart w:id="191" w:name="_Toc207294351"/>
      <w:bookmarkStart w:id="192" w:name="_Toc206588626"/>
      <w:bookmarkStart w:id="193" w:name="_Toc207285771"/>
      <w:bookmarkStart w:id="194" w:name="_Toc207978103"/>
      <w:r>
        <w:rPr>
          <w:rFonts w:hint="eastAsia"/>
        </w:rPr>
        <w:t>应急处理</w:t>
      </w:r>
      <w:bookmarkEnd w:id="190"/>
      <w:bookmarkEnd w:id="191"/>
      <w:bookmarkEnd w:id="192"/>
      <w:bookmarkEnd w:id="193"/>
      <w:bookmarkEnd w:id="194"/>
    </w:p>
    <w:p w14:paraId="3B6BB93E">
      <w:pPr>
        <w:pStyle w:val="105"/>
        <w:spacing w:before="120" w:after="120"/>
      </w:pPr>
      <w:bookmarkStart w:id="195" w:name="_Toc207213881"/>
      <w:bookmarkStart w:id="196" w:name="_Toc207285772"/>
      <w:bookmarkStart w:id="197" w:name="_Toc206588627"/>
      <w:bookmarkStart w:id="198" w:name="_Toc207978104"/>
      <w:bookmarkStart w:id="199" w:name="_Toc207294352"/>
      <w:r>
        <w:rPr>
          <w:rFonts w:hint="eastAsia"/>
        </w:rPr>
        <w:t>鱼类应激反应处置</w:t>
      </w:r>
      <w:bookmarkEnd w:id="195"/>
      <w:bookmarkEnd w:id="196"/>
      <w:bookmarkEnd w:id="197"/>
      <w:bookmarkEnd w:id="198"/>
      <w:bookmarkEnd w:id="199"/>
    </w:p>
    <w:p w14:paraId="4A2FFAF8">
      <w:pPr>
        <w:pStyle w:val="165"/>
        <w:numPr>
          <w:ilvl w:val="0"/>
          <w:numId w:val="0"/>
        </w:numPr>
        <w:ind w:firstLine="420" w:firstLineChars="200"/>
      </w:pPr>
      <w:r>
        <w:rPr>
          <w:rFonts w:hint="eastAsia"/>
        </w:rPr>
        <w:t>发现鱼群狂游、冲撞舱壁时，可添加5‰食盐并遮光静置30</w:t>
      </w:r>
      <w:r>
        <w:rPr>
          <w:snapToGrid w:val="0"/>
          <w:spacing w:val="-11"/>
          <w:vertAlign w:val="superscript"/>
        </w:rPr>
        <w:t xml:space="preserve"> </w:t>
      </w:r>
      <w:r>
        <w:t>min</w:t>
      </w:r>
      <w:r>
        <w:rPr>
          <w:rFonts w:hint="eastAsia"/>
        </w:rPr>
        <w:t>；出现翻肚鱼体超过5％时，可进行水体增氧或换水处理。</w:t>
      </w:r>
    </w:p>
    <w:p w14:paraId="778AEA23">
      <w:pPr>
        <w:pStyle w:val="105"/>
        <w:spacing w:before="120" w:after="120"/>
      </w:pPr>
      <w:bookmarkStart w:id="200" w:name="_Toc207294353"/>
      <w:bookmarkStart w:id="201" w:name="_Toc207213882"/>
      <w:bookmarkStart w:id="202" w:name="_Toc206588628"/>
      <w:bookmarkStart w:id="203" w:name="_Toc207978105"/>
      <w:bookmarkStart w:id="204" w:name="_Toc207285773"/>
      <w:r>
        <w:rPr>
          <w:rFonts w:hint="eastAsia"/>
        </w:rPr>
        <w:t>鱼生用鱼运输延误预案</w:t>
      </w:r>
      <w:bookmarkEnd w:id="200"/>
      <w:bookmarkEnd w:id="201"/>
      <w:bookmarkEnd w:id="202"/>
      <w:bookmarkEnd w:id="203"/>
      <w:bookmarkEnd w:id="204"/>
    </w:p>
    <w:p w14:paraId="44A9E8C7">
      <w:pPr>
        <w:pStyle w:val="165"/>
        <w:numPr>
          <w:ilvl w:val="0"/>
          <w:numId w:val="0"/>
        </w:numPr>
        <w:ind w:firstLine="420" w:firstLineChars="200"/>
      </w:pPr>
      <w:r>
        <w:rPr>
          <w:rFonts w:hint="eastAsia"/>
        </w:rPr>
        <w:t>鱼生用鱼运输延误</w:t>
      </w:r>
      <w:bookmarkStart w:id="205" w:name="OLE_LINK9"/>
      <w:bookmarkStart w:id="206" w:name="OLE_LINK10"/>
      <w:r>
        <w:rPr>
          <w:rFonts w:hint="eastAsia"/>
        </w:rPr>
        <w:t>超过</w:t>
      </w:r>
      <w:bookmarkEnd w:id="205"/>
      <w:bookmarkEnd w:id="206"/>
      <w:r>
        <w:rPr>
          <w:rFonts w:hint="eastAsia"/>
        </w:rPr>
        <w:t>2</w:t>
      </w:r>
      <w:bookmarkStart w:id="207" w:name="OLE_LINK95"/>
      <w:r>
        <w:rPr>
          <w:rFonts w:hint="eastAsia"/>
          <w:vertAlign w:val="superscript"/>
        </w:rPr>
        <w:t xml:space="preserve"> </w:t>
      </w:r>
      <w:r>
        <w:t>h</w:t>
      </w:r>
      <w:bookmarkEnd w:id="207"/>
      <w:r>
        <w:rPr>
          <w:rFonts w:hint="eastAsia"/>
        </w:rPr>
        <w:t>，宜进行降低水温和水体增氧处理；延误超过6</w:t>
      </w:r>
      <w:r>
        <w:rPr>
          <w:vertAlign w:val="superscript"/>
        </w:rPr>
        <w:t xml:space="preserve"> </w:t>
      </w:r>
      <w:r>
        <w:t>h</w:t>
      </w:r>
      <w:r>
        <w:rPr>
          <w:rFonts w:hint="eastAsia"/>
        </w:rPr>
        <w:t>，就近转入暂养池，重新执行停食暂养程序。</w:t>
      </w:r>
    </w:p>
    <w:p w14:paraId="0BED4A85">
      <w:pPr>
        <w:pStyle w:val="104"/>
        <w:spacing w:before="240" w:after="240"/>
      </w:pPr>
      <w:bookmarkStart w:id="208" w:name="_Toc207285775"/>
      <w:bookmarkStart w:id="209" w:name="_Toc207294355"/>
      <w:bookmarkStart w:id="210" w:name="_Toc207213884"/>
      <w:bookmarkStart w:id="211" w:name="_Toc206588630"/>
      <w:bookmarkStart w:id="212" w:name="_Toc207978106"/>
      <w:bookmarkStart w:id="213" w:name="OLE_LINK122"/>
      <w:bookmarkStart w:id="214" w:name="OLE_LINK123"/>
      <w:r>
        <w:rPr>
          <w:rFonts w:hint="eastAsia"/>
        </w:rPr>
        <w:t>记录</w:t>
      </w:r>
      <w:bookmarkEnd w:id="208"/>
      <w:bookmarkEnd w:id="209"/>
      <w:bookmarkEnd w:id="210"/>
      <w:bookmarkEnd w:id="211"/>
      <w:bookmarkEnd w:id="212"/>
      <w:bookmarkEnd w:id="213"/>
      <w:bookmarkEnd w:id="214"/>
    </w:p>
    <w:p w14:paraId="56EF9515">
      <w:pPr>
        <w:pStyle w:val="56"/>
        <w:ind w:firstLine="420"/>
      </w:pPr>
      <w:r>
        <w:rPr>
          <w:rFonts w:hint="eastAsia"/>
        </w:rPr>
        <w:t>记录应</w:t>
      </w:r>
      <w:bookmarkStart w:id="215" w:name="OLE_LINK120"/>
      <w:bookmarkStart w:id="216" w:name="OLE_LINK121"/>
      <w:r>
        <w:rPr>
          <w:rFonts w:hint="eastAsia"/>
        </w:rPr>
        <w:t>符合GB/T 36192</w:t>
      </w:r>
      <w:bookmarkEnd w:id="215"/>
      <w:bookmarkEnd w:id="216"/>
      <w:r>
        <w:rPr>
          <w:rFonts w:hint="eastAsia"/>
        </w:rPr>
        <w:t>的</w:t>
      </w:r>
      <w:r>
        <w:t>规定</w:t>
      </w:r>
      <w:r>
        <w:rPr>
          <w:rFonts w:hint="eastAsia"/>
        </w:rPr>
        <w:t>，运输时应填写横县鱼生用鱼运输信息记录表及鱼生特色辅料运输信息记录表，见附录A。</w:t>
      </w:r>
    </w:p>
    <w:p w14:paraId="38F41F44">
      <w:pPr>
        <w:pStyle w:val="56"/>
        <w:ind w:firstLine="420"/>
      </w:pPr>
    </w:p>
    <w:p w14:paraId="15B3BC43">
      <w:pPr>
        <w:pStyle w:val="56"/>
        <w:ind w:firstLine="420"/>
        <w:sectPr>
          <w:pgSz w:w="11906" w:h="16838"/>
          <w:pgMar w:top="1928" w:right="1134" w:bottom="1134" w:left="1134" w:header="1418" w:footer="1134" w:gutter="284"/>
          <w:pgNumType w:start="1"/>
          <w:cols w:space="425" w:num="1"/>
          <w:formProt w:val="0"/>
          <w:docGrid w:linePitch="312" w:charSpace="0"/>
        </w:sectPr>
      </w:pPr>
    </w:p>
    <w:bookmarkEnd w:id="31"/>
    <w:p w14:paraId="32BF8DA4">
      <w:pPr>
        <w:pStyle w:val="198"/>
      </w:pPr>
      <w:bookmarkStart w:id="217" w:name="BookMark5"/>
    </w:p>
    <w:p w14:paraId="4C155ECE">
      <w:pPr>
        <w:pStyle w:val="199"/>
      </w:pPr>
    </w:p>
    <w:p w14:paraId="3F7149CB">
      <w:pPr>
        <w:pStyle w:val="76"/>
        <w:spacing w:after="120"/>
      </w:pPr>
      <w:r>
        <w:br w:type="textWrapping"/>
      </w:r>
      <w:bookmarkStart w:id="218" w:name="_Toc207213885"/>
      <w:bookmarkStart w:id="219" w:name="_Toc207294356"/>
      <w:bookmarkStart w:id="220" w:name="_Toc206588631"/>
      <w:bookmarkStart w:id="221" w:name="_Toc207978107"/>
      <w:bookmarkStart w:id="222" w:name="_Toc207285776"/>
      <w:r>
        <w:rPr>
          <w:rFonts w:hint="eastAsia"/>
        </w:rPr>
        <w:t>（资料性）</w:t>
      </w:r>
      <w:r>
        <w:br w:type="textWrapping"/>
      </w:r>
      <w:r>
        <w:rPr>
          <w:rFonts w:hint="eastAsia"/>
        </w:rPr>
        <w:t>横县鱼生用鱼运输信息记录表</w:t>
      </w:r>
      <w:bookmarkEnd w:id="218"/>
      <w:bookmarkEnd w:id="219"/>
      <w:bookmarkEnd w:id="220"/>
      <w:bookmarkEnd w:id="221"/>
      <w:bookmarkEnd w:id="222"/>
    </w:p>
    <w:p w14:paraId="482D2F06">
      <w:pPr>
        <w:pStyle w:val="211"/>
      </w:pPr>
      <w:r>
        <w:rPr>
          <w:rFonts w:hint="eastAsia"/>
        </w:rPr>
        <w:t>横县</w:t>
      </w:r>
      <w:r>
        <w:t>鱼生用鱼运输信息记录表见表A.1</w:t>
      </w:r>
      <w:r>
        <w:rPr>
          <w:rFonts w:hint="eastAsia"/>
        </w:rPr>
        <w:t>。</w:t>
      </w:r>
    </w:p>
    <w:p w14:paraId="4ACDB45C">
      <w:pPr>
        <w:pStyle w:val="77"/>
        <w:spacing w:before="120" w:after="120"/>
      </w:pPr>
      <w:r>
        <w:rPr>
          <w:rFonts w:hint="eastAsia"/>
        </w:rPr>
        <w:t>横县鱼生用鱼运输信息记录表</w:t>
      </w:r>
    </w:p>
    <w:tbl>
      <w:tblPr>
        <w:tblStyle w:val="232"/>
        <w:tblW w:w="93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9"/>
        <w:gridCol w:w="2278"/>
        <w:gridCol w:w="4951"/>
        <w:gridCol w:w="1433"/>
      </w:tblGrid>
      <w:tr w14:paraId="5807BF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jc w:val="center"/>
        </w:trPr>
        <w:tc>
          <w:tcPr>
            <w:tcW w:w="9371" w:type="dxa"/>
            <w:gridSpan w:val="4"/>
            <w:tcBorders>
              <w:top w:val="single" w:color="auto" w:sz="8" w:space="0"/>
              <w:left w:val="single" w:color="auto" w:sz="8" w:space="0"/>
              <w:bottom w:val="single" w:color="auto" w:sz="8" w:space="0"/>
              <w:right w:val="single" w:color="auto" w:sz="8" w:space="0"/>
            </w:tcBorders>
            <w:vAlign w:val="center"/>
          </w:tcPr>
          <w:p w14:paraId="76A9A4CD">
            <w:pPr>
              <w:kinsoku w:val="0"/>
              <w:autoSpaceDE w:val="0"/>
              <w:autoSpaceDN w:val="0"/>
              <w:adjustRightInd w:val="0"/>
              <w:snapToGrid w:val="0"/>
              <w:ind w:firstLine="196" w:firstLineChars="100"/>
              <w:textAlignment w:val="baseline"/>
              <w:rPr>
                <w:rFonts w:ascii="宋体" w:hAnsi="宋体" w:cs="Arial"/>
                <w:snapToGrid w:val="0"/>
                <w:color w:val="000000"/>
                <w:kern w:val="0"/>
                <w:sz w:val="18"/>
                <w:szCs w:val="18"/>
              </w:rPr>
            </w:pPr>
            <w:bookmarkStart w:id="223" w:name="OLE_LINK25"/>
            <w:bookmarkStart w:id="224" w:name="OLE_LINK12"/>
            <w:r>
              <w:rPr>
                <w:rFonts w:ascii="Times New Roman" w:cs="Arial"/>
                <w:spacing w:val="-2"/>
                <w:sz w:val="20"/>
              </w:rPr>
              <w:t xml:space="preserve">养殖场（供货方）名称：           </w:t>
            </w:r>
            <w:r>
              <w:rPr>
                <w:rFonts w:ascii="Times New Roman" w:cs="Arial"/>
                <w:spacing w:val="-1"/>
              </w:rPr>
              <w:t xml:space="preserve">运输车（船）号：                  </w:t>
            </w:r>
            <w:r>
              <w:rPr>
                <w:rFonts w:ascii="Times New Roman" w:cs="Arial"/>
                <w:spacing w:val="-5"/>
              </w:rPr>
              <w:t>运输人：</w:t>
            </w:r>
            <w:bookmarkEnd w:id="223"/>
            <w:bookmarkEnd w:id="224"/>
          </w:p>
        </w:tc>
      </w:tr>
      <w:tr w14:paraId="408A77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jc w:val="center"/>
        </w:trPr>
        <w:tc>
          <w:tcPr>
            <w:tcW w:w="709" w:type="dxa"/>
            <w:tcBorders>
              <w:top w:val="single" w:color="auto" w:sz="8" w:space="0"/>
              <w:left w:val="single" w:color="auto" w:sz="8" w:space="0"/>
              <w:bottom w:val="single" w:color="auto" w:sz="8" w:space="0"/>
            </w:tcBorders>
            <w:vAlign w:val="center"/>
          </w:tcPr>
          <w:p w14:paraId="70529815">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2"/>
                <w:kern w:val="0"/>
                <w:sz w:val="18"/>
                <w:szCs w:val="18"/>
                <w:lang w:eastAsia="en-US"/>
              </w:rPr>
              <w:t>序号</w:t>
            </w:r>
          </w:p>
        </w:tc>
        <w:tc>
          <w:tcPr>
            <w:tcW w:w="2278" w:type="dxa"/>
            <w:tcBorders>
              <w:top w:val="single" w:color="auto" w:sz="8" w:space="0"/>
              <w:bottom w:val="single" w:color="auto" w:sz="8" w:space="0"/>
            </w:tcBorders>
            <w:vAlign w:val="center"/>
          </w:tcPr>
          <w:p w14:paraId="544B28F5">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3"/>
                <w:kern w:val="0"/>
                <w:sz w:val="18"/>
                <w:szCs w:val="18"/>
                <w:lang w:eastAsia="en-US"/>
              </w:rPr>
              <w:t>项目</w:t>
            </w:r>
          </w:p>
        </w:tc>
        <w:tc>
          <w:tcPr>
            <w:tcW w:w="4951" w:type="dxa"/>
            <w:tcBorders>
              <w:top w:val="single" w:color="auto" w:sz="8" w:space="0"/>
              <w:bottom w:val="single" w:color="auto" w:sz="8" w:space="0"/>
            </w:tcBorders>
            <w:vAlign w:val="center"/>
          </w:tcPr>
          <w:p w14:paraId="2FAC055A">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8"/>
                <w:kern w:val="0"/>
                <w:sz w:val="18"/>
                <w:szCs w:val="18"/>
                <w:lang w:eastAsia="en-US"/>
              </w:rPr>
              <w:t>内容</w:t>
            </w:r>
          </w:p>
        </w:tc>
        <w:tc>
          <w:tcPr>
            <w:tcW w:w="1433" w:type="dxa"/>
            <w:tcBorders>
              <w:top w:val="single" w:color="auto" w:sz="8" w:space="0"/>
              <w:bottom w:val="single" w:color="auto" w:sz="8" w:space="0"/>
              <w:right w:val="single" w:color="auto" w:sz="8" w:space="0"/>
            </w:tcBorders>
            <w:vAlign w:val="center"/>
          </w:tcPr>
          <w:p w14:paraId="1146CE85">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2"/>
                <w:kern w:val="0"/>
                <w:sz w:val="18"/>
                <w:szCs w:val="18"/>
                <w:lang w:eastAsia="en-US"/>
              </w:rPr>
              <w:t>记录人签名</w:t>
            </w:r>
          </w:p>
        </w:tc>
      </w:tr>
      <w:tr w14:paraId="07B008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jc w:val="center"/>
        </w:trPr>
        <w:tc>
          <w:tcPr>
            <w:tcW w:w="709" w:type="dxa"/>
            <w:tcBorders>
              <w:top w:val="single" w:color="auto" w:sz="8" w:space="0"/>
              <w:left w:val="single" w:color="auto" w:sz="8" w:space="0"/>
            </w:tcBorders>
            <w:vAlign w:val="center"/>
          </w:tcPr>
          <w:p w14:paraId="54DB0D08">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kern w:val="0"/>
                <w:sz w:val="18"/>
                <w:szCs w:val="18"/>
                <w:lang w:eastAsia="en-US"/>
              </w:rPr>
              <w:t>1</w:t>
            </w:r>
          </w:p>
        </w:tc>
        <w:tc>
          <w:tcPr>
            <w:tcW w:w="2278" w:type="dxa"/>
            <w:tcBorders>
              <w:top w:val="single" w:color="auto" w:sz="8" w:space="0"/>
            </w:tcBorders>
            <w:vAlign w:val="center"/>
          </w:tcPr>
          <w:p w14:paraId="186C49B8">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6"/>
                <w:kern w:val="0"/>
                <w:sz w:val="18"/>
                <w:szCs w:val="18"/>
                <w:lang w:eastAsia="en-US"/>
              </w:rPr>
              <w:t>品种</w:t>
            </w:r>
          </w:p>
        </w:tc>
        <w:tc>
          <w:tcPr>
            <w:tcW w:w="4951" w:type="dxa"/>
            <w:tcBorders>
              <w:top w:val="single" w:color="auto" w:sz="8" w:space="0"/>
            </w:tcBorders>
            <w:vAlign w:val="center"/>
          </w:tcPr>
          <w:p w14:paraId="710BCAE6">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c>
          <w:tcPr>
            <w:tcW w:w="1433" w:type="dxa"/>
            <w:tcBorders>
              <w:top w:val="single" w:color="auto" w:sz="8" w:space="0"/>
              <w:right w:val="single" w:color="auto" w:sz="8" w:space="0"/>
            </w:tcBorders>
            <w:vAlign w:val="center"/>
          </w:tcPr>
          <w:p w14:paraId="2195F62C">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r>
      <w:tr w14:paraId="2F9ED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jc w:val="center"/>
        </w:trPr>
        <w:tc>
          <w:tcPr>
            <w:tcW w:w="709" w:type="dxa"/>
            <w:tcBorders>
              <w:left w:val="single" w:color="auto" w:sz="8" w:space="0"/>
            </w:tcBorders>
            <w:vAlign w:val="center"/>
          </w:tcPr>
          <w:p w14:paraId="0C4568CB">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kern w:val="0"/>
                <w:sz w:val="18"/>
                <w:szCs w:val="18"/>
                <w:lang w:eastAsia="en-US"/>
              </w:rPr>
              <w:t>2</w:t>
            </w:r>
          </w:p>
        </w:tc>
        <w:tc>
          <w:tcPr>
            <w:tcW w:w="2278" w:type="dxa"/>
            <w:vAlign w:val="center"/>
          </w:tcPr>
          <w:p w14:paraId="685D0D3C">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3"/>
                <w:kern w:val="0"/>
                <w:sz w:val="18"/>
                <w:szCs w:val="18"/>
                <w:lang w:eastAsia="en-US"/>
              </w:rPr>
              <w:t>数量</w:t>
            </w:r>
          </w:p>
        </w:tc>
        <w:tc>
          <w:tcPr>
            <w:tcW w:w="4951" w:type="dxa"/>
            <w:vAlign w:val="center"/>
          </w:tcPr>
          <w:p w14:paraId="28BB296E">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c>
          <w:tcPr>
            <w:tcW w:w="1433" w:type="dxa"/>
            <w:tcBorders>
              <w:right w:val="single" w:color="auto" w:sz="8" w:space="0"/>
            </w:tcBorders>
            <w:vAlign w:val="center"/>
          </w:tcPr>
          <w:p w14:paraId="2CACA04C">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r>
      <w:tr w14:paraId="6CA72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jc w:val="center"/>
        </w:trPr>
        <w:tc>
          <w:tcPr>
            <w:tcW w:w="709" w:type="dxa"/>
            <w:tcBorders>
              <w:left w:val="single" w:color="auto" w:sz="8" w:space="0"/>
            </w:tcBorders>
            <w:vAlign w:val="center"/>
          </w:tcPr>
          <w:p w14:paraId="7D56C7F7">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kern w:val="0"/>
                <w:sz w:val="18"/>
                <w:szCs w:val="18"/>
                <w:lang w:eastAsia="en-US"/>
              </w:rPr>
              <w:t>3</w:t>
            </w:r>
          </w:p>
        </w:tc>
        <w:tc>
          <w:tcPr>
            <w:tcW w:w="2278" w:type="dxa"/>
            <w:vAlign w:val="center"/>
          </w:tcPr>
          <w:p w14:paraId="7FE47AC9">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2"/>
                <w:kern w:val="0"/>
                <w:sz w:val="18"/>
                <w:szCs w:val="18"/>
                <w:lang w:eastAsia="en-US"/>
              </w:rPr>
              <w:t>起运地点</w:t>
            </w:r>
          </w:p>
        </w:tc>
        <w:tc>
          <w:tcPr>
            <w:tcW w:w="4951" w:type="dxa"/>
            <w:vAlign w:val="center"/>
          </w:tcPr>
          <w:p w14:paraId="294033A7">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c>
          <w:tcPr>
            <w:tcW w:w="1433" w:type="dxa"/>
            <w:tcBorders>
              <w:right w:val="single" w:color="auto" w:sz="8" w:space="0"/>
            </w:tcBorders>
            <w:vAlign w:val="center"/>
          </w:tcPr>
          <w:p w14:paraId="63D1332A">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r>
      <w:tr w14:paraId="07FAAE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jc w:val="center"/>
        </w:trPr>
        <w:tc>
          <w:tcPr>
            <w:tcW w:w="709" w:type="dxa"/>
            <w:tcBorders>
              <w:left w:val="single" w:color="auto" w:sz="8" w:space="0"/>
            </w:tcBorders>
            <w:vAlign w:val="center"/>
          </w:tcPr>
          <w:p w14:paraId="3E631021">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kern w:val="0"/>
                <w:sz w:val="18"/>
                <w:szCs w:val="18"/>
                <w:lang w:eastAsia="en-US"/>
              </w:rPr>
              <w:t>4</w:t>
            </w:r>
          </w:p>
        </w:tc>
        <w:tc>
          <w:tcPr>
            <w:tcW w:w="2278" w:type="dxa"/>
            <w:vAlign w:val="center"/>
          </w:tcPr>
          <w:p w14:paraId="3B68E07C">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2"/>
                <w:kern w:val="0"/>
                <w:sz w:val="18"/>
                <w:szCs w:val="18"/>
                <w:lang w:eastAsia="en-US"/>
              </w:rPr>
              <w:t>起运时间</w:t>
            </w:r>
          </w:p>
        </w:tc>
        <w:tc>
          <w:tcPr>
            <w:tcW w:w="4951" w:type="dxa"/>
            <w:vAlign w:val="center"/>
          </w:tcPr>
          <w:p w14:paraId="27BB00AF">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c>
          <w:tcPr>
            <w:tcW w:w="1433" w:type="dxa"/>
            <w:tcBorders>
              <w:right w:val="single" w:color="auto" w:sz="8" w:space="0"/>
            </w:tcBorders>
            <w:vAlign w:val="center"/>
          </w:tcPr>
          <w:p w14:paraId="0A59DFAD">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r>
      <w:tr w14:paraId="65D727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jc w:val="center"/>
        </w:trPr>
        <w:tc>
          <w:tcPr>
            <w:tcW w:w="709" w:type="dxa"/>
            <w:tcBorders>
              <w:left w:val="single" w:color="auto" w:sz="8" w:space="0"/>
            </w:tcBorders>
            <w:vAlign w:val="center"/>
          </w:tcPr>
          <w:p w14:paraId="32A682A5">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kern w:val="0"/>
                <w:sz w:val="18"/>
                <w:szCs w:val="18"/>
                <w:lang w:eastAsia="en-US"/>
              </w:rPr>
              <w:t>5</w:t>
            </w:r>
          </w:p>
        </w:tc>
        <w:tc>
          <w:tcPr>
            <w:tcW w:w="2278" w:type="dxa"/>
            <w:vAlign w:val="center"/>
          </w:tcPr>
          <w:p w14:paraId="72A0DED7">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2"/>
                <w:kern w:val="0"/>
                <w:sz w:val="18"/>
                <w:szCs w:val="18"/>
                <w:lang w:eastAsia="en-US"/>
              </w:rPr>
              <w:t>运达地点</w:t>
            </w:r>
          </w:p>
        </w:tc>
        <w:tc>
          <w:tcPr>
            <w:tcW w:w="4951" w:type="dxa"/>
            <w:vAlign w:val="center"/>
          </w:tcPr>
          <w:p w14:paraId="1E3613EA">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c>
          <w:tcPr>
            <w:tcW w:w="1433" w:type="dxa"/>
            <w:tcBorders>
              <w:right w:val="single" w:color="auto" w:sz="8" w:space="0"/>
            </w:tcBorders>
            <w:vAlign w:val="center"/>
          </w:tcPr>
          <w:p w14:paraId="2FC3ADEF">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r>
      <w:tr w14:paraId="431831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jc w:val="center"/>
        </w:trPr>
        <w:tc>
          <w:tcPr>
            <w:tcW w:w="709" w:type="dxa"/>
            <w:tcBorders>
              <w:left w:val="single" w:color="auto" w:sz="8" w:space="0"/>
            </w:tcBorders>
            <w:vAlign w:val="center"/>
          </w:tcPr>
          <w:p w14:paraId="310F7F66">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kern w:val="0"/>
                <w:sz w:val="18"/>
                <w:szCs w:val="18"/>
                <w:lang w:eastAsia="en-US"/>
              </w:rPr>
              <w:t>6</w:t>
            </w:r>
          </w:p>
        </w:tc>
        <w:tc>
          <w:tcPr>
            <w:tcW w:w="2278" w:type="dxa"/>
            <w:vAlign w:val="center"/>
          </w:tcPr>
          <w:p w14:paraId="3593DB16">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2"/>
                <w:kern w:val="0"/>
                <w:sz w:val="18"/>
                <w:szCs w:val="18"/>
                <w:lang w:eastAsia="en-US"/>
              </w:rPr>
              <w:t>运达时间</w:t>
            </w:r>
          </w:p>
        </w:tc>
        <w:tc>
          <w:tcPr>
            <w:tcW w:w="4951" w:type="dxa"/>
            <w:vAlign w:val="center"/>
          </w:tcPr>
          <w:p w14:paraId="52BEE92F">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c>
          <w:tcPr>
            <w:tcW w:w="1433" w:type="dxa"/>
            <w:tcBorders>
              <w:right w:val="single" w:color="auto" w:sz="8" w:space="0"/>
            </w:tcBorders>
            <w:vAlign w:val="center"/>
          </w:tcPr>
          <w:p w14:paraId="73967E4B">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r>
      <w:tr w14:paraId="30613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jc w:val="center"/>
        </w:trPr>
        <w:tc>
          <w:tcPr>
            <w:tcW w:w="709" w:type="dxa"/>
            <w:tcBorders>
              <w:left w:val="single" w:color="auto" w:sz="8" w:space="0"/>
            </w:tcBorders>
            <w:vAlign w:val="center"/>
          </w:tcPr>
          <w:p w14:paraId="00F6D944">
            <w:pPr>
              <w:kinsoku w:val="0"/>
              <w:autoSpaceDE w:val="0"/>
              <w:autoSpaceDN w:val="0"/>
              <w:adjustRightInd w:val="0"/>
              <w:snapToGrid w:val="0"/>
              <w:jc w:val="center"/>
              <w:textAlignment w:val="baseline"/>
              <w:rPr>
                <w:rFonts w:ascii="宋体" w:hAnsi="宋体" w:cs="Arial"/>
                <w:snapToGrid w:val="0"/>
                <w:color w:val="000000"/>
                <w:kern w:val="0"/>
                <w:sz w:val="18"/>
                <w:szCs w:val="18"/>
              </w:rPr>
            </w:pPr>
            <w:r>
              <w:rPr>
                <w:rFonts w:ascii="宋体" w:hAnsi="宋体" w:cs="Arial"/>
                <w:snapToGrid w:val="0"/>
                <w:color w:val="000000"/>
                <w:kern w:val="0"/>
                <w:sz w:val="18"/>
                <w:szCs w:val="18"/>
              </w:rPr>
              <w:t>7</w:t>
            </w:r>
          </w:p>
        </w:tc>
        <w:tc>
          <w:tcPr>
            <w:tcW w:w="2278" w:type="dxa"/>
            <w:vAlign w:val="center"/>
          </w:tcPr>
          <w:p w14:paraId="4C640F37">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1"/>
                <w:kern w:val="0"/>
                <w:sz w:val="18"/>
                <w:szCs w:val="18"/>
                <w:lang w:eastAsia="en-US"/>
              </w:rPr>
              <w:t>产品检验/合格证信息</w:t>
            </w:r>
          </w:p>
        </w:tc>
        <w:tc>
          <w:tcPr>
            <w:tcW w:w="4951" w:type="dxa"/>
            <w:vAlign w:val="center"/>
          </w:tcPr>
          <w:p w14:paraId="2E210483">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c>
          <w:tcPr>
            <w:tcW w:w="1433" w:type="dxa"/>
            <w:tcBorders>
              <w:right w:val="single" w:color="auto" w:sz="8" w:space="0"/>
            </w:tcBorders>
            <w:vAlign w:val="center"/>
          </w:tcPr>
          <w:p w14:paraId="15ED631D">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r>
      <w:tr w14:paraId="372F83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jc w:val="center"/>
        </w:trPr>
        <w:tc>
          <w:tcPr>
            <w:tcW w:w="709" w:type="dxa"/>
            <w:tcBorders>
              <w:left w:val="single" w:color="auto" w:sz="8" w:space="0"/>
            </w:tcBorders>
            <w:vAlign w:val="center"/>
          </w:tcPr>
          <w:p w14:paraId="6711FC3B">
            <w:pPr>
              <w:kinsoku w:val="0"/>
              <w:autoSpaceDE w:val="0"/>
              <w:autoSpaceDN w:val="0"/>
              <w:adjustRightInd w:val="0"/>
              <w:snapToGrid w:val="0"/>
              <w:jc w:val="center"/>
              <w:textAlignment w:val="baseline"/>
              <w:rPr>
                <w:rFonts w:ascii="宋体" w:hAnsi="宋体" w:cs="Arial"/>
                <w:snapToGrid w:val="0"/>
                <w:color w:val="000000"/>
                <w:kern w:val="0"/>
                <w:sz w:val="18"/>
                <w:szCs w:val="18"/>
              </w:rPr>
            </w:pPr>
            <w:r>
              <w:rPr>
                <w:rFonts w:ascii="宋体" w:hAnsi="宋体" w:cs="Arial"/>
                <w:snapToGrid w:val="0"/>
                <w:color w:val="000000"/>
                <w:spacing w:val="-5"/>
                <w:kern w:val="0"/>
                <w:sz w:val="18"/>
                <w:szCs w:val="18"/>
              </w:rPr>
              <w:t>8</w:t>
            </w:r>
          </w:p>
        </w:tc>
        <w:tc>
          <w:tcPr>
            <w:tcW w:w="2278" w:type="dxa"/>
            <w:vAlign w:val="center"/>
          </w:tcPr>
          <w:p w14:paraId="21294595">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1"/>
                <w:kern w:val="0"/>
                <w:sz w:val="18"/>
                <w:szCs w:val="18"/>
                <w:lang w:eastAsia="en-US"/>
              </w:rPr>
              <w:t>运输环境温度/</w:t>
            </w:r>
            <w:r>
              <w:rPr>
                <w:rFonts w:hint="eastAsia" w:ascii="宋体" w:hAnsi="宋体" w:cs="宋体"/>
                <w:snapToGrid w:val="0"/>
                <w:color w:val="000000"/>
                <w:spacing w:val="-1"/>
                <w:kern w:val="0"/>
                <w:sz w:val="18"/>
                <w:szCs w:val="18"/>
                <w:lang w:eastAsia="en-US"/>
              </w:rPr>
              <w:t>℃</w:t>
            </w:r>
          </w:p>
        </w:tc>
        <w:tc>
          <w:tcPr>
            <w:tcW w:w="4951" w:type="dxa"/>
            <w:vAlign w:val="center"/>
          </w:tcPr>
          <w:p w14:paraId="2E1ABD9B">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c>
          <w:tcPr>
            <w:tcW w:w="1433" w:type="dxa"/>
            <w:tcBorders>
              <w:right w:val="single" w:color="auto" w:sz="8" w:space="0"/>
            </w:tcBorders>
            <w:vAlign w:val="center"/>
          </w:tcPr>
          <w:p w14:paraId="773FF247">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r>
      <w:tr w14:paraId="464BCF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jc w:val="center"/>
        </w:trPr>
        <w:tc>
          <w:tcPr>
            <w:tcW w:w="709" w:type="dxa"/>
            <w:tcBorders>
              <w:left w:val="single" w:color="auto" w:sz="8" w:space="0"/>
            </w:tcBorders>
            <w:vAlign w:val="center"/>
          </w:tcPr>
          <w:p w14:paraId="625FDCB1">
            <w:pPr>
              <w:kinsoku w:val="0"/>
              <w:autoSpaceDE w:val="0"/>
              <w:autoSpaceDN w:val="0"/>
              <w:adjustRightInd w:val="0"/>
              <w:snapToGrid w:val="0"/>
              <w:jc w:val="center"/>
              <w:textAlignment w:val="baseline"/>
              <w:rPr>
                <w:rFonts w:ascii="宋体" w:hAnsi="宋体" w:cs="Arial"/>
                <w:snapToGrid w:val="0"/>
                <w:color w:val="000000"/>
                <w:kern w:val="0"/>
                <w:sz w:val="18"/>
                <w:szCs w:val="18"/>
              </w:rPr>
            </w:pPr>
            <w:r>
              <w:rPr>
                <w:rFonts w:ascii="宋体" w:hAnsi="宋体" w:cs="Arial"/>
                <w:snapToGrid w:val="0"/>
                <w:color w:val="000000"/>
                <w:spacing w:val="-5"/>
                <w:kern w:val="0"/>
                <w:sz w:val="18"/>
                <w:szCs w:val="18"/>
              </w:rPr>
              <w:t>9</w:t>
            </w:r>
          </w:p>
        </w:tc>
        <w:tc>
          <w:tcPr>
            <w:tcW w:w="2278" w:type="dxa"/>
            <w:vAlign w:val="center"/>
          </w:tcPr>
          <w:p w14:paraId="748914C8">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1"/>
                <w:kern w:val="0"/>
                <w:sz w:val="18"/>
                <w:szCs w:val="18"/>
                <w:lang w:eastAsia="en-US"/>
              </w:rPr>
              <w:t>运输环境相对湿度/％</w:t>
            </w:r>
          </w:p>
        </w:tc>
        <w:tc>
          <w:tcPr>
            <w:tcW w:w="4951" w:type="dxa"/>
            <w:vAlign w:val="center"/>
          </w:tcPr>
          <w:p w14:paraId="4F6C0806">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c>
          <w:tcPr>
            <w:tcW w:w="1433" w:type="dxa"/>
            <w:tcBorders>
              <w:right w:val="single" w:color="auto" w:sz="8" w:space="0"/>
            </w:tcBorders>
            <w:vAlign w:val="center"/>
          </w:tcPr>
          <w:p w14:paraId="50547065">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r>
      <w:tr w14:paraId="081469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jc w:val="center"/>
        </w:trPr>
        <w:tc>
          <w:tcPr>
            <w:tcW w:w="709" w:type="dxa"/>
            <w:tcBorders>
              <w:left w:val="single" w:color="auto" w:sz="8" w:space="0"/>
            </w:tcBorders>
            <w:vAlign w:val="center"/>
          </w:tcPr>
          <w:p w14:paraId="6151BDA5">
            <w:pPr>
              <w:kinsoku w:val="0"/>
              <w:autoSpaceDE w:val="0"/>
              <w:autoSpaceDN w:val="0"/>
              <w:adjustRightInd w:val="0"/>
              <w:snapToGrid w:val="0"/>
              <w:jc w:val="center"/>
              <w:textAlignment w:val="baseline"/>
              <w:rPr>
                <w:rFonts w:ascii="宋体" w:hAnsi="宋体" w:cs="Arial"/>
                <w:snapToGrid w:val="0"/>
                <w:color w:val="000000"/>
                <w:kern w:val="0"/>
                <w:sz w:val="18"/>
                <w:szCs w:val="18"/>
              </w:rPr>
            </w:pPr>
            <w:r>
              <w:rPr>
                <w:rFonts w:ascii="宋体" w:hAnsi="宋体" w:cs="Arial"/>
                <w:snapToGrid w:val="0"/>
                <w:color w:val="000000"/>
                <w:spacing w:val="-5"/>
                <w:kern w:val="0"/>
                <w:sz w:val="18"/>
                <w:szCs w:val="18"/>
                <w:lang w:eastAsia="en-US"/>
              </w:rPr>
              <w:t>1</w:t>
            </w:r>
            <w:r>
              <w:rPr>
                <w:rFonts w:ascii="宋体" w:hAnsi="宋体" w:cs="Arial"/>
                <w:snapToGrid w:val="0"/>
                <w:color w:val="000000"/>
                <w:spacing w:val="-5"/>
                <w:kern w:val="0"/>
                <w:sz w:val="18"/>
                <w:szCs w:val="18"/>
              </w:rPr>
              <w:t>0</w:t>
            </w:r>
          </w:p>
        </w:tc>
        <w:tc>
          <w:tcPr>
            <w:tcW w:w="2278" w:type="dxa"/>
            <w:vAlign w:val="center"/>
          </w:tcPr>
          <w:p w14:paraId="5D9ED0AB">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1"/>
                <w:kern w:val="0"/>
                <w:sz w:val="18"/>
                <w:szCs w:val="18"/>
                <w:lang w:eastAsia="en-US"/>
              </w:rPr>
              <w:t>途中补换水时间</w:t>
            </w:r>
          </w:p>
        </w:tc>
        <w:tc>
          <w:tcPr>
            <w:tcW w:w="4951" w:type="dxa"/>
            <w:vAlign w:val="center"/>
          </w:tcPr>
          <w:p w14:paraId="5CCB1327">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c>
          <w:tcPr>
            <w:tcW w:w="1433" w:type="dxa"/>
            <w:tcBorders>
              <w:right w:val="single" w:color="auto" w:sz="8" w:space="0"/>
            </w:tcBorders>
            <w:vAlign w:val="center"/>
          </w:tcPr>
          <w:p w14:paraId="067B3D04">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r>
      <w:tr w14:paraId="76804A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jc w:val="center"/>
        </w:trPr>
        <w:tc>
          <w:tcPr>
            <w:tcW w:w="709" w:type="dxa"/>
            <w:tcBorders>
              <w:left w:val="single" w:color="auto" w:sz="8" w:space="0"/>
            </w:tcBorders>
            <w:vAlign w:val="center"/>
          </w:tcPr>
          <w:p w14:paraId="5FB92C91">
            <w:pPr>
              <w:kinsoku w:val="0"/>
              <w:autoSpaceDE w:val="0"/>
              <w:autoSpaceDN w:val="0"/>
              <w:adjustRightInd w:val="0"/>
              <w:snapToGrid w:val="0"/>
              <w:jc w:val="center"/>
              <w:textAlignment w:val="baseline"/>
              <w:rPr>
                <w:rFonts w:ascii="宋体" w:hAnsi="宋体" w:cs="Arial"/>
                <w:snapToGrid w:val="0"/>
                <w:color w:val="000000"/>
                <w:kern w:val="0"/>
                <w:sz w:val="18"/>
                <w:szCs w:val="18"/>
              </w:rPr>
            </w:pPr>
            <w:r>
              <w:rPr>
                <w:rFonts w:ascii="宋体" w:hAnsi="宋体" w:cs="Arial"/>
                <w:snapToGrid w:val="0"/>
                <w:color w:val="000000"/>
                <w:spacing w:val="-5"/>
                <w:kern w:val="0"/>
                <w:sz w:val="18"/>
                <w:szCs w:val="18"/>
                <w:lang w:eastAsia="en-US"/>
              </w:rPr>
              <w:t>1</w:t>
            </w:r>
            <w:r>
              <w:rPr>
                <w:rFonts w:ascii="宋体" w:hAnsi="宋体" w:cs="Arial"/>
                <w:snapToGrid w:val="0"/>
                <w:color w:val="000000"/>
                <w:spacing w:val="-5"/>
                <w:kern w:val="0"/>
                <w:sz w:val="18"/>
                <w:szCs w:val="18"/>
              </w:rPr>
              <w:t>1</w:t>
            </w:r>
          </w:p>
        </w:tc>
        <w:tc>
          <w:tcPr>
            <w:tcW w:w="2278" w:type="dxa"/>
            <w:vAlign w:val="center"/>
          </w:tcPr>
          <w:p w14:paraId="6A59FA9C">
            <w:pPr>
              <w:kinsoku w:val="0"/>
              <w:autoSpaceDE w:val="0"/>
              <w:autoSpaceDN w:val="0"/>
              <w:adjustRightInd w:val="0"/>
              <w:snapToGrid w:val="0"/>
              <w:jc w:val="center"/>
              <w:textAlignment w:val="baseline"/>
              <w:rPr>
                <w:rFonts w:ascii="宋体" w:hAnsi="宋体" w:cs="Arial"/>
                <w:snapToGrid w:val="0"/>
                <w:color w:val="000000"/>
                <w:spacing w:val="-1"/>
                <w:kern w:val="0"/>
                <w:sz w:val="18"/>
                <w:szCs w:val="18"/>
              </w:rPr>
            </w:pPr>
            <w:r>
              <w:rPr>
                <w:rFonts w:ascii="宋体" w:hAnsi="宋体" w:cs="Arial"/>
                <w:snapToGrid w:val="0"/>
                <w:color w:val="000000"/>
                <w:spacing w:val="-1"/>
                <w:kern w:val="0"/>
                <w:sz w:val="18"/>
                <w:szCs w:val="18"/>
              </w:rPr>
              <w:t>运达时</w:t>
            </w:r>
            <w:r>
              <w:rPr>
                <w:rFonts w:hint="eastAsia" w:ascii="宋体" w:hAnsi="宋体" w:cs="Arial"/>
                <w:snapToGrid w:val="0"/>
                <w:color w:val="000000"/>
                <w:spacing w:val="-1"/>
                <w:kern w:val="0"/>
                <w:sz w:val="18"/>
                <w:szCs w:val="18"/>
              </w:rPr>
              <w:t>横县</w:t>
            </w:r>
            <w:r>
              <w:rPr>
                <w:rFonts w:ascii="宋体" w:hAnsi="宋体" w:cs="Arial"/>
                <w:snapToGrid w:val="0"/>
                <w:color w:val="000000"/>
                <w:spacing w:val="-1"/>
                <w:kern w:val="0"/>
                <w:sz w:val="18"/>
                <w:szCs w:val="18"/>
              </w:rPr>
              <w:t>鱼生用鱼</w:t>
            </w:r>
          </w:p>
          <w:p w14:paraId="40EDA65B">
            <w:pPr>
              <w:kinsoku w:val="0"/>
              <w:autoSpaceDE w:val="0"/>
              <w:autoSpaceDN w:val="0"/>
              <w:adjustRightInd w:val="0"/>
              <w:snapToGrid w:val="0"/>
              <w:jc w:val="center"/>
              <w:textAlignment w:val="baseline"/>
              <w:rPr>
                <w:rFonts w:ascii="宋体" w:hAnsi="宋体" w:cs="Arial"/>
                <w:snapToGrid w:val="0"/>
                <w:color w:val="000000"/>
                <w:kern w:val="0"/>
                <w:sz w:val="18"/>
                <w:szCs w:val="18"/>
              </w:rPr>
            </w:pPr>
            <w:r>
              <w:rPr>
                <w:rFonts w:ascii="宋体" w:hAnsi="宋体" w:cs="Arial"/>
                <w:snapToGrid w:val="0"/>
                <w:color w:val="000000"/>
                <w:spacing w:val="-1"/>
                <w:kern w:val="0"/>
                <w:sz w:val="18"/>
                <w:szCs w:val="18"/>
              </w:rPr>
              <w:t>存活状态</w:t>
            </w:r>
          </w:p>
        </w:tc>
        <w:tc>
          <w:tcPr>
            <w:tcW w:w="4951" w:type="dxa"/>
            <w:vAlign w:val="center"/>
          </w:tcPr>
          <w:p w14:paraId="009DBBD1">
            <w:pPr>
              <w:kinsoku w:val="0"/>
              <w:autoSpaceDE w:val="0"/>
              <w:autoSpaceDN w:val="0"/>
              <w:adjustRightInd w:val="0"/>
              <w:snapToGrid w:val="0"/>
              <w:jc w:val="center"/>
              <w:textAlignment w:val="baseline"/>
              <w:rPr>
                <w:rFonts w:ascii="宋体" w:hAnsi="宋体" w:cs="Arial"/>
                <w:snapToGrid w:val="0"/>
                <w:color w:val="000000"/>
                <w:kern w:val="0"/>
                <w:sz w:val="18"/>
                <w:szCs w:val="18"/>
              </w:rPr>
            </w:pPr>
          </w:p>
        </w:tc>
        <w:tc>
          <w:tcPr>
            <w:tcW w:w="1433" w:type="dxa"/>
            <w:tcBorders>
              <w:right w:val="single" w:color="auto" w:sz="8" w:space="0"/>
            </w:tcBorders>
            <w:vAlign w:val="center"/>
          </w:tcPr>
          <w:p w14:paraId="16F66913">
            <w:pPr>
              <w:kinsoku w:val="0"/>
              <w:autoSpaceDE w:val="0"/>
              <w:autoSpaceDN w:val="0"/>
              <w:adjustRightInd w:val="0"/>
              <w:snapToGrid w:val="0"/>
              <w:jc w:val="center"/>
              <w:textAlignment w:val="baseline"/>
              <w:rPr>
                <w:rFonts w:ascii="宋体" w:hAnsi="宋体" w:cs="Arial"/>
                <w:snapToGrid w:val="0"/>
                <w:color w:val="000000"/>
                <w:kern w:val="0"/>
                <w:sz w:val="18"/>
                <w:szCs w:val="18"/>
              </w:rPr>
            </w:pPr>
          </w:p>
        </w:tc>
      </w:tr>
      <w:tr w14:paraId="3C8AA3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jc w:val="center"/>
        </w:trPr>
        <w:tc>
          <w:tcPr>
            <w:tcW w:w="709" w:type="dxa"/>
            <w:tcBorders>
              <w:left w:val="single" w:color="auto" w:sz="8" w:space="0"/>
              <w:bottom w:val="single" w:color="000000" w:sz="6" w:space="0"/>
            </w:tcBorders>
            <w:vAlign w:val="center"/>
          </w:tcPr>
          <w:p w14:paraId="5672457C">
            <w:pPr>
              <w:kinsoku w:val="0"/>
              <w:autoSpaceDE w:val="0"/>
              <w:autoSpaceDN w:val="0"/>
              <w:adjustRightInd w:val="0"/>
              <w:snapToGrid w:val="0"/>
              <w:jc w:val="center"/>
              <w:textAlignment w:val="baseline"/>
              <w:rPr>
                <w:rFonts w:ascii="宋体" w:hAnsi="宋体" w:cs="Arial"/>
                <w:snapToGrid w:val="0"/>
                <w:color w:val="000000"/>
                <w:kern w:val="0"/>
                <w:sz w:val="18"/>
                <w:szCs w:val="18"/>
              </w:rPr>
            </w:pPr>
            <w:r>
              <w:rPr>
                <w:rFonts w:ascii="宋体" w:hAnsi="宋体" w:cs="Arial"/>
                <w:snapToGrid w:val="0"/>
                <w:color w:val="000000"/>
                <w:spacing w:val="-5"/>
                <w:kern w:val="0"/>
                <w:sz w:val="18"/>
                <w:szCs w:val="18"/>
                <w:lang w:eastAsia="en-US"/>
              </w:rPr>
              <w:t>1</w:t>
            </w:r>
            <w:r>
              <w:rPr>
                <w:rFonts w:ascii="宋体" w:hAnsi="宋体" w:cs="Arial"/>
                <w:snapToGrid w:val="0"/>
                <w:color w:val="000000"/>
                <w:spacing w:val="-5"/>
                <w:kern w:val="0"/>
                <w:sz w:val="18"/>
                <w:szCs w:val="18"/>
              </w:rPr>
              <w:t>2</w:t>
            </w:r>
          </w:p>
        </w:tc>
        <w:tc>
          <w:tcPr>
            <w:tcW w:w="2278" w:type="dxa"/>
            <w:tcBorders>
              <w:bottom w:val="single" w:color="000000" w:sz="6" w:space="0"/>
            </w:tcBorders>
            <w:vAlign w:val="center"/>
          </w:tcPr>
          <w:p w14:paraId="09603D1A">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r>
              <w:rPr>
                <w:rFonts w:ascii="宋体" w:hAnsi="宋体" w:cs="Arial"/>
                <w:snapToGrid w:val="0"/>
                <w:color w:val="000000"/>
                <w:spacing w:val="-2"/>
                <w:kern w:val="0"/>
                <w:sz w:val="18"/>
                <w:szCs w:val="18"/>
                <w:lang w:eastAsia="en-US"/>
              </w:rPr>
              <w:t>其他</w:t>
            </w:r>
          </w:p>
        </w:tc>
        <w:tc>
          <w:tcPr>
            <w:tcW w:w="4951" w:type="dxa"/>
            <w:tcBorders>
              <w:bottom w:val="single" w:color="000000" w:sz="6" w:space="0"/>
            </w:tcBorders>
            <w:vAlign w:val="center"/>
          </w:tcPr>
          <w:p w14:paraId="355A3BA7">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c>
          <w:tcPr>
            <w:tcW w:w="1433" w:type="dxa"/>
            <w:tcBorders>
              <w:bottom w:val="single" w:color="000000" w:sz="6" w:space="0"/>
              <w:right w:val="single" w:color="auto" w:sz="8" w:space="0"/>
            </w:tcBorders>
            <w:vAlign w:val="center"/>
          </w:tcPr>
          <w:p w14:paraId="4FBEE292">
            <w:pPr>
              <w:kinsoku w:val="0"/>
              <w:autoSpaceDE w:val="0"/>
              <w:autoSpaceDN w:val="0"/>
              <w:adjustRightInd w:val="0"/>
              <w:snapToGrid w:val="0"/>
              <w:jc w:val="center"/>
              <w:textAlignment w:val="baseline"/>
              <w:rPr>
                <w:rFonts w:ascii="宋体" w:hAnsi="宋体" w:cs="Arial"/>
                <w:snapToGrid w:val="0"/>
                <w:color w:val="000000"/>
                <w:kern w:val="0"/>
                <w:sz w:val="18"/>
                <w:szCs w:val="18"/>
                <w:lang w:eastAsia="en-US"/>
              </w:rPr>
            </w:pPr>
          </w:p>
        </w:tc>
      </w:tr>
      <w:tr w14:paraId="149681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jc w:val="center"/>
        </w:trPr>
        <w:tc>
          <w:tcPr>
            <w:tcW w:w="9371" w:type="dxa"/>
            <w:gridSpan w:val="4"/>
            <w:tcBorders>
              <w:top w:val="single" w:color="000000" w:sz="6" w:space="0"/>
              <w:left w:val="single" w:color="auto" w:sz="8" w:space="0"/>
              <w:bottom w:val="single" w:color="auto" w:sz="8" w:space="0"/>
              <w:right w:val="single" w:color="auto" w:sz="8" w:space="0"/>
            </w:tcBorders>
            <w:vAlign w:val="center"/>
          </w:tcPr>
          <w:p w14:paraId="79330ECD">
            <w:pPr>
              <w:pStyle w:val="179"/>
              <w:rPr>
                <w:rFonts w:hAnsi="Arial" w:cs="Arial"/>
                <w:snapToGrid w:val="0"/>
              </w:rPr>
            </w:pPr>
          </w:p>
        </w:tc>
      </w:tr>
    </w:tbl>
    <w:p w14:paraId="3187F081">
      <w:pPr>
        <w:kinsoku w:val="0"/>
        <w:autoSpaceDE w:val="0"/>
        <w:autoSpaceDN w:val="0"/>
        <w:adjustRightInd w:val="0"/>
        <w:snapToGrid w:val="0"/>
        <w:spacing w:before="120" w:after="120"/>
        <w:rPr>
          <w:rFonts w:ascii="Times New Roman" w:hAnsi="Times New Roman" w:eastAsia="Arial"/>
          <w:color w:val="000000"/>
          <w:kern w:val="0"/>
        </w:rPr>
      </w:pPr>
    </w:p>
    <w:p w14:paraId="485BD756">
      <w:pPr>
        <w:pStyle w:val="211"/>
      </w:pPr>
      <w:r>
        <w:rPr>
          <w:rFonts w:hint="eastAsia"/>
        </w:rPr>
        <w:t>鱼生特色辅料运输信息记录表见表</w:t>
      </w:r>
      <w:r>
        <w:t>A.2</w:t>
      </w:r>
    </w:p>
    <w:p w14:paraId="4E6D95A1">
      <w:pPr>
        <w:kinsoku w:val="0"/>
        <w:autoSpaceDE w:val="0"/>
        <w:autoSpaceDN w:val="0"/>
        <w:adjustRightInd w:val="0"/>
        <w:snapToGrid w:val="0"/>
        <w:spacing w:before="120" w:after="120" w:line="218" w:lineRule="auto"/>
        <w:ind w:left="3079"/>
        <w:outlineLvl w:val="0"/>
        <w:rPr>
          <w:rFonts w:ascii="Times New Roman" w:hAnsi="Times New Roman" w:eastAsia="黑体"/>
          <w:color w:val="000000"/>
          <w:spacing w:val="-1"/>
          <w:kern w:val="0"/>
        </w:rPr>
      </w:pPr>
      <w:r>
        <w:rPr>
          <w:rFonts w:hint="eastAsia" w:ascii="Times New Roman" w:hAnsi="Times New Roman" w:eastAsia="黑体"/>
          <w:color w:val="000000"/>
          <w:spacing w:val="-1"/>
          <w:kern w:val="0"/>
        </w:rPr>
        <w:t>表</w:t>
      </w:r>
      <w:r>
        <w:rPr>
          <w:rFonts w:ascii="Times New Roman" w:hAnsi="Times New Roman" w:eastAsia="黑体"/>
          <w:color w:val="000000"/>
          <w:spacing w:val="-1"/>
          <w:kern w:val="0"/>
        </w:rPr>
        <w:t xml:space="preserve">A.2 </w:t>
      </w:r>
      <w:r>
        <w:rPr>
          <w:rFonts w:hint="eastAsia" w:ascii="Times New Roman" w:hAnsi="Times New Roman" w:eastAsia="黑体"/>
          <w:color w:val="000000"/>
          <w:spacing w:val="-1"/>
          <w:kern w:val="0"/>
        </w:rPr>
        <w:t>鱼生特色辅料运输信息记录表</w:t>
      </w:r>
    </w:p>
    <w:tbl>
      <w:tblPr>
        <w:tblStyle w:val="233"/>
        <w:tblW w:w="9375"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9"/>
        <w:gridCol w:w="2279"/>
        <w:gridCol w:w="4953"/>
        <w:gridCol w:w="1434"/>
      </w:tblGrid>
      <w:tr w14:paraId="48297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trPr>
        <w:tc>
          <w:tcPr>
            <w:tcW w:w="9375" w:type="dxa"/>
            <w:gridSpan w:val="4"/>
            <w:tcBorders>
              <w:top w:val="single" w:color="auto" w:sz="8" w:space="0"/>
              <w:left w:val="single" w:color="auto" w:sz="8" w:space="0"/>
              <w:bottom w:val="single" w:color="auto" w:sz="8" w:space="0"/>
              <w:right w:val="single" w:color="auto" w:sz="8" w:space="0"/>
            </w:tcBorders>
            <w:vAlign w:val="center"/>
          </w:tcPr>
          <w:p w14:paraId="18E5B77C">
            <w:pPr>
              <w:kinsoku w:val="0"/>
              <w:autoSpaceDE w:val="0"/>
              <w:autoSpaceDN w:val="0"/>
              <w:adjustRightInd w:val="0"/>
              <w:snapToGrid w:val="0"/>
              <w:ind w:firstLine="196" w:firstLineChars="100"/>
              <w:rPr>
                <w:rFonts w:ascii="宋体" w:hAnsi="宋体" w:eastAsia="Times New Roman" w:cs="宋体"/>
                <w:color w:val="000000"/>
                <w:kern w:val="0"/>
                <w:sz w:val="18"/>
                <w:szCs w:val="18"/>
              </w:rPr>
            </w:pPr>
            <w:r>
              <w:rPr>
                <w:rFonts w:hint="eastAsia" w:ascii="Times New Roman" w:hAnsi="Times New Roman" w:eastAsia="Times New Roman" w:cs="Arial"/>
                <w:color w:val="000000"/>
                <w:spacing w:val="-2"/>
                <w:kern w:val="0"/>
                <w:sz w:val="20"/>
                <w:szCs w:val="20"/>
              </w:rPr>
              <w:t>种植方（加工方）名称：</w:t>
            </w:r>
            <w:r>
              <w:rPr>
                <w:rFonts w:ascii="Times New Roman" w:hAnsi="Times New Roman" w:eastAsia="Times New Roman" w:cs="Arial"/>
                <w:color w:val="000000"/>
                <w:spacing w:val="-2"/>
                <w:kern w:val="0"/>
                <w:sz w:val="20"/>
                <w:szCs w:val="20"/>
              </w:rPr>
              <w:t xml:space="preserve">                    </w:t>
            </w:r>
            <w:r>
              <w:rPr>
                <w:rFonts w:hint="eastAsia" w:ascii="Times New Roman" w:hAnsi="Times New Roman" w:eastAsia="Times New Roman" w:cs="Arial"/>
                <w:color w:val="000000"/>
                <w:spacing w:val="-1"/>
                <w:kern w:val="0"/>
                <w:sz w:val="18"/>
                <w:szCs w:val="18"/>
              </w:rPr>
              <w:t>运输车（船）号：</w:t>
            </w:r>
            <w:r>
              <w:rPr>
                <w:rFonts w:ascii="Times New Roman" w:hAnsi="Times New Roman" w:eastAsia="Times New Roman" w:cs="Arial"/>
                <w:color w:val="000000"/>
                <w:spacing w:val="-1"/>
                <w:kern w:val="0"/>
                <w:sz w:val="18"/>
                <w:szCs w:val="18"/>
              </w:rPr>
              <w:t xml:space="preserve">                     </w:t>
            </w:r>
            <w:r>
              <w:rPr>
                <w:rFonts w:hint="eastAsia" w:ascii="Times New Roman" w:hAnsi="Times New Roman" w:eastAsia="Times New Roman" w:cs="Arial"/>
                <w:color w:val="000000"/>
                <w:spacing w:val="-5"/>
                <w:kern w:val="0"/>
                <w:sz w:val="18"/>
                <w:szCs w:val="18"/>
              </w:rPr>
              <w:t>运输人：</w:t>
            </w:r>
          </w:p>
        </w:tc>
      </w:tr>
      <w:tr w14:paraId="2FD44C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trPr>
        <w:tc>
          <w:tcPr>
            <w:tcW w:w="709" w:type="dxa"/>
            <w:tcBorders>
              <w:top w:val="single" w:color="auto" w:sz="8" w:space="0"/>
              <w:left w:val="single" w:color="auto" w:sz="8" w:space="0"/>
              <w:bottom w:val="single" w:color="auto" w:sz="4" w:space="0"/>
              <w:right w:val="single" w:color="auto" w:sz="4" w:space="0"/>
            </w:tcBorders>
            <w:vAlign w:val="center"/>
          </w:tcPr>
          <w:p w14:paraId="41E3E1DE">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spacing w:val="-2"/>
                <w:kern w:val="0"/>
                <w:sz w:val="18"/>
                <w:szCs w:val="18"/>
                <w:lang w:eastAsia="en-US"/>
              </w:rPr>
              <w:t>序号</w:t>
            </w:r>
          </w:p>
        </w:tc>
        <w:tc>
          <w:tcPr>
            <w:tcW w:w="2279" w:type="dxa"/>
            <w:tcBorders>
              <w:top w:val="single" w:color="auto" w:sz="8" w:space="0"/>
              <w:left w:val="single" w:color="auto" w:sz="4" w:space="0"/>
              <w:bottom w:val="single" w:color="auto" w:sz="4" w:space="0"/>
              <w:right w:val="single" w:color="auto" w:sz="4" w:space="0"/>
            </w:tcBorders>
            <w:vAlign w:val="center"/>
          </w:tcPr>
          <w:p w14:paraId="57C64CAC">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spacing w:val="-3"/>
                <w:kern w:val="0"/>
                <w:sz w:val="18"/>
                <w:szCs w:val="18"/>
                <w:lang w:eastAsia="en-US"/>
              </w:rPr>
              <w:t>项目</w:t>
            </w:r>
          </w:p>
        </w:tc>
        <w:tc>
          <w:tcPr>
            <w:tcW w:w="4953" w:type="dxa"/>
            <w:tcBorders>
              <w:top w:val="single" w:color="auto" w:sz="8" w:space="0"/>
              <w:left w:val="single" w:color="auto" w:sz="4" w:space="0"/>
              <w:bottom w:val="single" w:color="auto" w:sz="4" w:space="0"/>
              <w:right w:val="single" w:color="auto" w:sz="4" w:space="0"/>
            </w:tcBorders>
            <w:vAlign w:val="center"/>
          </w:tcPr>
          <w:p w14:paraId="19A97E6C">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spacing w:val="-8"/>
                <w:kern w:val="0"/>
                <w:sz w:val="18"/>
                <w:szCs w:val="18"/>
                <w:lang w:eastAsia="en-US"/>
              </w:rPr>
              <w:t>内容</w:t>
            </w:r>
          </w:p>
        </w:tc>
        <w:tc>
          <w:tcPr>
            <w:tcW w:w="1434" w:type="dxa"/>
            <w:tcBorders>
              <w:top w:val="single" w:color="auto" w:sz="8" w:space="0"/>
              <w:left w:val="single" w:color="auto" w:sz="4" w:space="0"/>
              <w:bottom w:val="single" w:color="auto" w:sz="4" w:space="0"/>
              <w:right w:val="single" w:color="auto" w:sz="8" w:space="0"/>
            </w:tcBorders>
            <w:vAlign w:val="center"/>
          </w:tcPr>
          <w:p w14:paraId="53745556">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spacing w:val="-2"/>
                <w:kern w:val="0"/>
                <w:sz w:val="18"/>
                <w:szCs w:val="18"/>
                <w:lang w:eastAsia="en-US"/>
              </w:rPr>
              <w:t>记录人签名</w:t>
            </w:r>
          </w:p>
        </w:tc>
      </w:tr>
      <w:tr w14:paraId="11148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709" w:type="dxa"/>
            <w:tcBorders>
              <w:top w:val="single" w:color="auto" w:sz="4" w:space="0"/>
              <w:left w:val="single" w:color="auto" w:sz="8" w:space="0"/>
              <w:bottom w:val="single" w:color="000000" w:sz="2" w:space="0"/>
              <w:right w:val="single" w:color="auto" w:sz="4" w:space="0"/>
            </w:tcBorders>
            <w:vAlign w:val="center"/>
          </w:tcPr>
          <w:p w14:paraId="027D9DB6">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kern w:val="0"/>
                <w:sz w:val="18"/>
                <w:szCs w:val="18"/>
                <w:lang w:eastAsia="en-US"/>
              </w:rPr>
              <w:t>1</w:t>
            </w:r>
          </w:p>
        </w:tc>
        <w:tc>
          <w:tcPr>
            <w:tcW w:w="2279" w:type="dxa"/>
            <w:tcBorders>
              <w:top w:val="single" w:color="auto" w:sz="4" w:space="0"/>
              <w:left w:val="single" w:color="auto" w:sz="4" w:space="0"/>
              <w:bottom w:val="single" w:color="000000" w:sz="2" w:space="0"/>
              <w:right w:val="single" w:color="auto" w:sz="4" w:space="0"/>
            </w:tcBorders>
            <w:vAlign w:val="center"/>
          </w:tcPr>
          <w:p w14:paraId="555AFE85">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spacing w:val="-6"/>
                <w:kern w:val="0"/>
                <w:sz w:val="18"/>
                <w:szCs w:val="18"/>
                <w:lang w:eastAsia="en-US"/>
              </w:rPr>
              <w:t>品种</w:t>
            </w:r>
          </w:p>
        </w:tc>
        <w:tc>
          <w:tcPr>
            <w:tcW w:w="4953" w:type="dxa"/>
            <w:tcBorders>
              <w:top w:val="single" w:color="auto" w:sz="4" w:space="0"/>
              <w:left w:val="single" w:color="auto" w:sz="4" w:space="0"/>
              <w:bottom w:val="single" w:color="000000" w:sz="2" w:space="0"/>
              <w:right w:val="single" w:color="auto" w:sz="4" w:space="0"/>
            </w:tcBorders>
          </w:tcPr>
          <w:p w14:paraId="3A5B634E">
            <w:pPr>
              <w:kinsoku w:val="0"/>
              <w:autoSpaceDE w:val="0"/>
              <w:autoSpaceDN w:val="0"/>
              <w:adjustRightInd w:val="0"/>
              <w:snapToGrid w:val="0"/>
              <w:rPr>
                <w:rFonts w:ascii="宋体" w:hAnsi="宋体" w:eastAsia="Times New Roman" w:cs="宋体"/>
                <w:color w:val="000000"/>
                <w:kern w:val="0"/>
                <w:sz w:val="18"/>
                <w:szCs w:val="18"/>
                <w:lang w:eastAsia="en-US"/>
              </w:rPr>
            </w:pPr>
          </w:p>
        </w:tc>
        <w:tc>
          <w:tcPr>
            <w:tcW w:w="1434" w:type="dxa"/>
            <w:tcBorders>
              <w:top w:val="single" w:color="auto" w:sz="4" w:space="0"/>
              <w:left w:val="single" w:color="auto" w:sz="4" w:space="0"/>
              <w:bottom w:val="single" w:color="000000" w:sz="2" w:space="0"/>
              <w:right w:val="single" w:color="auto" w:sz="8" w:space="0"/>
            </w:tcBorders>
          </w:tcPr>
          <w:p w14:paraId="6DC879E5">
            <w:pPr>
              <w:kinsoku w:val="0"/>
              <w:autoSpaceDE w:val="0"/>
              <w:autoSpaceDN w:val="0"/>
              <w:adjustRightInd w:val="0"/>
              <w:snapToGrid w:val="0"/>
              <w:rPr>
                <w:rFonts w:ascii="宋体" w:hAnsi="宋体" w:eastAsia="Times New Roman" w:cs="宋体"/>
                <w:color w:val="000000"/>
                <w:kern w:val="0"/>
                <w:sz w:val="18"/>
                <w:szCs w:val="18"/>
                <w:lang w:eastAsia="en-US"/>
              </w:rPr>
            </w:pPr>
          </w:p>
        </w:tc>
      </w:tr>
      <w:tr w14:paraId="74EF2D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709" w:type="dxa"/>
            <w:tcBorders>
              <w:top w:val="single" w:color="000000" w:sz="2" w:space="0"/>
              <w:left w:val="single" w:color="auto" w:sz="8" w:space="0"/>
              <w:bottom w:val="single" w:color="000000" w:sz="2" w:space="0"/>
              <w:right w:val="single" w:color="000000" w:sz="2" w:space="0"/>
            </w:tcBorders>
            <w:vAlign w:val="center"/>
          </w:tcPr>
          <w:p w14:paraId="480CDB58">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kern w:val="0"/>
                <w:sz w:val="18"/>
                <w:szCs w:val="18"/>
                <w:lang w:eastAsia="en-US"/>
              </w:rPr>
              <w:t>2</w:t>
            </w:r>
          </w:p>
        </w:tc>
        <w:tc>
          <w:tcPr>
            <w:tcW w:w="2279" w:type="dxa"/>
            <w:tcBorders>
              <w:top w:val="single" w:color="000000" w:sz="2" w:space="0"/>
              <w:left w:val="single" w:color="000000" w:sz="2" w:space="0"/>
              <w:bottom w:val="single" w:color="000000" w:sz="2" w:space="0"/>
              <w:right w:val="single" w:color="000000" w:sz="2" w:space="0"/>
            </w:tcBorders>
            <w:vAlign w:val="center"/>
          </w:tcPr>
          <w:p w14:paraId="0E1A8F47">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spacing w:val="-3"/>
                <w:kern w:val="0"/>
                <w:sz w:val="18"/>
                <w:szCs w:val="18"/>
                <w:lang w:eastAsia="en-US"/>
              </w:rPr>
              <w:t>数量</w:t>
            </w:r>
          </w:p>
        </w:tc>
        <w:tc>
          <w:tcPr>
            <w:tcW w:w="4953" w:type="dxa"/>
            <w:tcBorders>
              <w:top w:val="single" w:color="000000" w:sz="2" w:space="0"/>
              <w:left w:val="single" w:color="000000" w:sz="2" w:space="0"/>
              <w:bottom w:val="single" w:color="000000" w:sz="2" w:space="0"/>
              <w:right w:val="single" w:color="000000" w:sz="2" w:space="0"/>
            </w:tcBorders>
          </w:tcPr>
          <w:p w14:paraId="43B74302">
            <w:pPr>
              <w:kinsoku w:val="0"/>
              <w:autoSpaceDE w:val="0"/>
              <w:autoSpaceDN w:val="0"/>
              <w:adjustRightInd w:val="0"/>
              <w:snapToGrid w:val="0"/>
              <w:rPr>
                <w:rFonts w:ascii="宋体" w:hAnsi="宋体" w:eastAsia="Times New Roman" w:cs="宋体"/>
                <w:color w:val="000000"/>
                <w:kern w:val="0"/>
                <w:sz w:val="18"/>
                <w:szCs w:val="18"/>
                <w:lang w:eastAsia="en-US"/>
              </w:rPr>
            </w:pPr>
          </w:p>
        </w:tc>
        <w:tc>
          <w:tcPr>
            <w:tcW w:w="1434" w:type="dxa"/>
            <w:tcBorders>
              <w:top w:val="single" w:color="000000" w:sz="2" w:space="0"/>
              <w:left w:val="single" w:color="000000" w:sz="2" w:space="0"/>
              <w:bottom w:val="single" w:color="000000" w:sz="2" w:space="0"/>
              <w:right w:val="single" w:color="auto" w:sz="8" w:space="0"/>
            </w:tcBorders>
          </w:tcPr>
          <w:p w14:paraId="4F00A515">
            <w:pPr>
              <w:kinsoku w:val="0"/>
              <w:autoSpaceDE w:val="0"/>
              <w:autoSpaceDN w:val="0"/>
              <w:adjustRightInd w:val="0"/>
              <w:snapToGrid w:val="0"/>
              <w:rPr>
                <w:rFonts w:ascii="宋体" w:hAnsi="宋体" w:eastAsia="Times New Roman" w:cs="宋体"/>
                <w:color w:val="000000"/>
                <w:kern w:val="0"/>
                <w:sz w:val="18"/>
                <w:szCs w:val="18"/>
                <w:lang w:eastAsia="en-US"/>
              </w:rPr>
            </w:pPr>
          </w:p>
        </w:tc>
      </w:tr>
      <w:tr w14:paraId="2724FC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709" w:type="dxa"/>
            <w:tcBorders>
              <w:top w:val="single" w:color="000000" w:sz="2" w:space="0"/>
              <w:left w:val="single" w:color="auto" w:sz="8" w:space="0"/>
              <w:bottom w:val="single" w:color="000000" w:sz="2" w:space="0"/>
              <w:right w:val="single" w:color="000000" w:sz="2" w:space="0"/>
            </w:tcBorders>
            <w:vAlign w:val="center"/>
          </w:tcPr>
          <w:p w14:paraId="334D818E">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kern w:val="0"/>
                <w:sz w:val="18"/>
                <w:szCs w:val="18"/>
                <w:lang w:eastAsia="en-US"/>
              </w:rPr>
              <w:t>3</w:t>
            </w:r>
          </w:p>
        </w:tc>
        <w:tc>
          <w:tcPr>
            <w:tcW w:w="2279" w:type="dxa"/>
            <w:tcBorders>
              <w:top w:val="single" w:color="000000" w:sz="2" w:space="0"/>
              <w:left w:val="single" w:color="000000" w:sz="2" w:space="0"/>
              <w:bottom w:val="single" w:color="000000" w:sz="2" w:space="0"/>
              <w:right w:val="single" w:color="000000" w:sz="2" w:space="0"/>
            </w:tcBorders>
            <w:vAlign w:val="center"/>
          </w:tcPr>
          <w:p w14:paraId="2E542BC3">
            <w:pPr>
              <w:kinsoku w:val="0"/>
              <w:autoSpaceDE w:val="0"/>
              <w:autoSpaceDN w:val="0"/>
              <w:adjustRightInd w:val="0"/>
              <w:snapToGrid w:val="0"/>
              <w:jc w:val="center"/>
              <w:rPr>
                <w:rFonts w:ascii="宋体" w:hAnsi="宋体" w:eastAsia="Times New Roman" w:cs="宋体"/>
                <w:color w:val="000000"/>
                <w:spacing w:val="-3"/>
                <w:kern w:val="0"/>
                <w:sz w:val="18"/>
                <w:szCs w:val="18"/>
                <w:lang w:eastAsia="en-US"/>
              </w:rPr>
            </w:pPr>
            <w:r>
              <w:rPr>
                <w:rFonts w:hint="eastAsia" w:ascii="宋体" w:hAnsi="宋体" w:eastAsia="Times New Roman" w:cs="宋体"/>
                <w:color w:val="000000"/>
                <w:spacing w:val="-3"/>
                <w:kern w:val="0"/>
                <w:sz w:val="18"/>
                <w:szCs w:val="18"/>
              </w:rPr>
              <w:t>采收时间</w:t>
            </w:r>
          </w:p>
        </w:tc>
        <w:tc>
          <w:tcPr>
            <w:tcW w:w="4953" w:type="dxa"/>
            <w:tcBorders>
              <w:top w:val="single" w:color="000000" w:sz="2" w:space="0"/>
              <w:left w:val="single" w:color="000000" w:sz="2" w:space="0"/>
              <w:bottom w:val="single" w:color="000000" w:sz="2" w:space="0"/>
              <w:right w:val="single" w:color="000000" w:sz="2" w:space="0"/>
            </w:tcBorders>
          </w:tcPr>
          <w:p w14:paraId="6F03405F">
            <w:pPr>
              <w:kinsoku w:val="0"/>
              <w:autoSpaceDE w:val="0"/>
              <w:autoSpaceDN w:val="0"/>
              <w:adjustRightInd w:val="0"/>
              <w:snapToGrid w:val="0"/>
              <w:rPr>
                <w:rFonts w:ascii="宋体" w:hAnsi="宋体" w:eastAsia="Times New Roman" w:cs="宋体"/>
                <w:color w:val="000000"/>
                <w:kern w:val="0"/>
                <w:sz w:val="18"/>
                <w:szCs w:val="18"/>
                <w:lang w:eastAsia="en-US"/>
              </w:rPr>
            </w:pPr>
          </w:p>
        </w:tc>
        <w:tc>
          <w:tcPr>
            <w:tcW w:w="1434" w:type="dxa"/>
            <w:tcBorders>
              <w:top w:val="single" w:color="000000" w:sz="2" w:space="0"/>
              <w:left w:val="single" w:color="000000" w:sz="2" w:space="0"/>
              <w:bottom w:val="single" w:color="000000" w:sz="2" w:space="0"/>
              <w:right w:val="single" w:color="auto" w:sz="8" w:space="0"/>
            </w:tcBorders>
          </w:tcPr>
          <w:p w14:paraId="6C3D62CC">
            <w:pPr>
              <w:kinsoku w:val="0"/>
              <w:autoSpaceDE w:val="0"/>
              <w:autoSpaceDN w:val="0"/>
              <w:adjustRightInd w:val="0"/>
              <w:snapToGrid w:val="0"/>
              <w:rPr>
                <w:rFonts w:ascii="宋体" w:hAnsi="宋体" w:eastAsia="Times New Roman" w:cs="宋体"/>
                <w:color w:val="000000"/>
                <w:kern w:val="0"/>
                <w:sz w:val="18"/>
                <w:szCs w:val="18"/>
                <w:lang w:eastAsia="en-US"/>
              </w:rPr>
            </w:pPr>
          </w:p>
        </w:tc>
      </w:tr>
      <w:tr w14:paraId="419203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09" w:type="dxa"/>
            <w:tcBorders>
              <w:top w:val="single" w:color="000000" w:sz="2" w:space="0"/>
              <w:left w:val="single" w:color="auto" w:sz="8" w:space="0"/>
              <w:bottom w:val="single" w:color="000000" w:sz="2" w:space="0"/>
              <w:right w:val="single" w:color="000000" w:sz="2" w:space="0"/>
            </w:tcBorders>
            <w:vAlign w:val="center"/>
          </w:tcPr>
          <w:p w14:paraId="7FA39CC2">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kern w:val="0"/>
                <w:sz w:val="18"/>
                <w:szCs w:val="18"/>
                <w:lang w:eastAsia="en-US"/>
              </w:rPr>
              <w:t>4</w:t>
            </w:r>
          </w:p>
        </w:tc>
        <w:tc>
          <w:tcPr>
            <w:tcW w:w="2279" w:type="dxa"/>
            <w:tcBorders>
              <w:top w:val="single" w:color="000000" w:sz="2" w:space="0"/>
              <w:left w:val="single" w:color="000000" w:sz="2" w:space="0"/>
              <w:bottom w:val="single" w:color="000000" w:sz="2" w:space="0"/>
              <w:right w:val="single" w:color="000000" w:sz="2" w:space="0"/>
            </w:tcBorders>
            <w:vAlign w:val="center"/>
          </w:tcPr>
          <w:p w14:paraId="6EC356BA">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spacing w:val="-2"/>
                <w:kern w:val="0"/>
                <w:sz w:val="18"/>
                <w:szCs w:val="18"/>
                <w:lang w:eastAsia="en-US"/>
              </w:rPr>
              <w:t>起运地点</w:t>
            </w:r>
          </w:p>
        </w:tc>
        <w:tc>
          <w:tcPr>
            <w:tcW w:w="4953" w:type="dxa"/>
            <w:tcBorders>
              <w:top w:val="single" w:color="000000" w:sz="2" w:space="0"/>
              <w:left w:val="single" w:color="000000" w:sz="2" w:space="0"/>
              <w:bottom w:val="single" w:color="000000" w:sz="2" w:space="0"/>
              <w:right w:val="single" w:color="000000" w:sz="2" w:space="0"/>
            </w:tcBorders>
          </w:tcPr>
          <w:p w14:paraId="0EFFCDC0">
            <w:pPr>
              <w:kinsoku w:val="0"/>
              <w:autoSpaceDE w:val="0"/>
              <w:autoSpaceDN w:val="0"/>
              <w:adjustRightInd w:val="0"/>
              <w:snapToGrid w:val="0"/>
              <w:rPr>
                <w:rFonts w:ascii="宋体" w:hAnsi="宋体" w:eastAsia="Times New Roman" w:cs="宋体"/>
                <w:color w:val="000000"/>
                <w:kern w:val="0"/>
                <w:sz w:val="18"/>
                <w:szCs w:val="18"/>
                <w:lang w:eastAsia="en-US"/>
              </w:rPr>
            </w:pPr>
          </w:p>
        </w:tc>
        <w:tc>
          <w:tcPr>
            <w:tcW w:w="1434" w:type="dxa"/>
            <w:tcBorders>
              <w:top w:val="single" w:color="000000" w:sz="2" w:space="0"/>
              <w:left w:val="single" w:color="000000" w:sz="2" w:space="0"/>
              <w:bottom w:val="single" w:color="000000" w:sz="2" w:space="0"/>
              <w:right w:val="single" w:color="auto" w:sz="8" w:space="0"/>
            </w:tcBorders>
          </w:tcPr>
          <w:p w14:paraId="0C98DD92">
            <w:pPr>
              <w:kinsoku w:val="0"/>
              <w:autoSpaceDE w:val="0"/>
              <w:autoSpaceDN w:val="0"/>
              <w:adjustRightInd w:val="0"/>
              <w:snapToGrid w:val="0"/>
              <w:rPr>
                <w:rFonts w:ascii="宋体" w:hAnsi="宋体" w:eastAsia="Times New Roman" w:cs="宋体"/>
                <w:color w:val="000000"/>
                <w:kern w:val="0"/>
                <w:sz w:val="18"/>
                <w:szCs w:val="18"/>
                <w:lang w:eastAsia="en-US"/>
              </w:rPr>
            </w:pPr>
          </w:p>
        </w:tc>
      </w:tr>
      <w:tr w14:paraId="3DBD2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709" w:type="dxa"/>
            <w:tcBorders>
              <w:top w:val="single" w:color="000000" w:sz="2" w:space="0"/>
              <w:left w:val="single" w:color="auto" w:sz="8" w:space="0"/>
              <w:bottom w:val="single" w:color="000000" w:sz="2" w:space="0"/>
              <w:right w:val="single" w:color="000000" w:sz="2" w:space="0"/>
            </w:tcBorders>
            <w:vAlign w:val="center"/>
          </w:tcPr>
          <w:p w14:paraId="38BB58F7">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kern w:val="0"/>
                <w:sz w:val="18"/>
                <w:szCs w:val="18"/>
                <w:lang w:eastAsia="en-US"/>
              </w:rPr>
              <w:t>5</w:t>
            </w:r>
          </w:p>
        </w:tc>
        <w:tc>
          <w:tcPr>
            <w:tcW w:w="2279" w:type="dxa"/>
            <w:tcBorders>
              <w:top w:val="single" w:color="000000" w:sz="2" w:space="0"/>
              <w:left w:val="single" w:color="000000" w:sz="2" w:space="0"/>
              <w:bottom w:val="single" w:color="000000" w:sz="2" w:space="0"/>
              <w:right w:val="single" w:color="000000" w:sz="2" w:space="0"/>
            </w:tcBorders>
            <w:vAlign w:val="center"/>
          </w:tcPr>
          <w:p w14:paraId="22419628">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spacing w:val="-2"/>
                <w:kern w:val="0"/>
                <w:sz w:val="18"/>
                <w:szCs w:val="18"/>
                <w:lang w:eastAsia="en-US"/>
              </w:rPr>
              <w:t>起运时间</w:t>
            </w:r>
          </w:p>
        </w:tc>
        <w:tc>
          <w:tcPr>
            <w:tcW w:w="4953" w:type="dxa"/>
            <w:tcBorders>
              <w:top w:val="single" w:color="000000" w:sz="2" w:space="0"/>
              <w:left w:val="single" w:color="000000" w:sz="2" w:space="0"/>
              <w:bottom w:val="single" w:color="000000" w:sz="2" w:space="0"/>
              <w:right w:val="single" w:color="000000" w:sz="2" w:space="0"/>
            </w:tcBorders>
          </w:tcPr>
          <w:p w14:paraId="1EDD125F">
            <w:pPr>
              <w:kinsoku w:val="0"/>
              <w:autoSpaceDE w:val="0"/>
              <w:autoSpaceDN w:val="0"/>
              <w:adjustRightInd w:val="0"/>
              <w:snapToGrid w:val="0"/>
              <w:rPr>
                <w:rFonts w:ascii="宋体" w:hAnsi="宋体" w:eastAsia="Times New Roman" w:cs="宋体"/>
                <w:color w:val="000000"/>
                <w:kern w:val="0"/>
                <w:sz w:val="18"/>
                <w:szCs w:val="18"/>
                <w:lang w:eastAsia="en-US"/>
              </w:rPr>
            </w:pPr>
          </w:p>
        </w:tc>
        <w:tc>
          <w:tcPr>
            <w:tcW w:w="1434" w:type="dxa"/>
            <w:tcBorders>
              <w:top w:val="single" w:color="000000" w:sz="2" w:space="0"/>
              <w:left w:val="single" w:color="000000" w:sz="2" w:space="0"/>
              <w:bottom w:val="single" w:color="000000" w:sz="2" w:space="0"/>
              <w:right w:val="single" w:color="auto" w:sz="8" w:space="0"/>
            </w:tcBorders>
          </w:tcPr>
          <w:p w14:paraId="1DCD2DAC">
            <w:pPr>
              <w:kinsoku w:val="0"/>
              <w:autoSpaceDE w:val="0"/>
              <w:autoSpaceDN w:val="0"/>
              <w:adjustRightInd w:val="0"/>
              <w:snapToGrid w:val="0"/>
              <w:rPr>
                <w:rFonts w:ascii="宋体" w:hAnsi="宋体" w:eastAsia="Times New Roman" w:cs="宋体"/>
                <w:color w:val="000000"/>
                <w:kern w:val="0"/>
                <w:sz w:val="18"/>
                <w:szCs w:val="18"/>
                <w:lang w:eastAsia="en-US"/>
              </w:rPr>
            </w:pPr>
          </w:p>
        </w:tc>
      </w:tr>
      <w:tr w14:paraId="5E0674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trPr>
        <w:tc>
          <w:tcPr>
            <w:tcW w:w="709" w:type="dxa"/>
            <w:tcBorders>
              <w:top w:val="single" w:color="000000" w:sz="2" w:space="0"/>
              <w:left w:val="single" w:color="auto" w:sz="8" w:space="0"/>
              <w:bottom w:val="single" w:color="000000" w:sz="2" w:space="0"/>
              <w:right w:val="single" w:color="000000" w:sz="2" w:space="0"/>
            </w:tcBorders>
            <w:vAlign w:val="center"/>
          </w:tcPr>
          <w:p w14:paraId="73EF456A">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kern w:val="0"/>
                <w:sz w:val="18"/>
                <w:szCs w:val="18"/>
                <w:lang w:eastAsia="en-US"/>
              </w:rPr>
              <w:t>6</w:t>
            </w:r>
          </w:p>
        </w:tc>
        <w:tc>
          <w:tcPr>
            <w:tcW w:w="2279" w:type="dxa"/>
            <w:tcBorders>
              <w:top w:val="single" w:color="000000" w:sz="2" w:space="0"/>
              <w:left w:val="single" w:color="000000" w:sz="2" w:space="0"/>
              <w:bottom w:val="single" w:color="000000" w:sz="2" w:space="0"/>
              <w:right w:val="single" w:color="000000" w:sz="2" w:space="0"/>
            </w:tcBorders>
            <w:vAlign w:val="center"/>
          </w:tcPr>
          <w:p w14:paraId="774B6197">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spacing w:val="-2"/>
                <w:kern w:val="0"/>
                <w:sz w:val="18"/>
                <w:szCs w:val="18"/>
                <w:lang w:eastAsia="en-US"/>
              </w:rPr>
              <w:t>运达地点</w:t>
            </w:r>
          </w:p>
        </w:tc>
        <w:tc>
          <w:tcPr>
            <w:tcW w:w="4953" w:type="dxa"/>
            <w:tcBorders>
              <w:top w:val="single" w:color="000000" w:sz="2" w:space="0"/>
              <w:left w:val="single" w:color="000000" w:sz="2" w:space="0"/>
              <w:bottom w:val="single" w:color="000000" w:sz="2" w:space="0"/>
              <w:right w:val="single" w:color="000000" w:sz="2" w:space="0"/>
            </w:tcBorders>
          </w:tcPr>
          <w:p w14:paraId="6319EF55">
            <w:pPr>
              <w:kinsoku w:val="0"/>
              <w:autoSpaceDE w:val="0"/>
              <w:autoSpaceDN w:val="0"/>
              <w:adjustRightInd w:val="0"/>
              <w:snapToGrid w:val="0"/>
              <w:rPr>
                <w:rFonts w:ascii="宋体" w:hAnsi="宋体" w:eastAsia="Times New Roman" w:cs="宋体"/>
                <w:color w:val="000000"/>
                <w:kern w:val="0"/>
                <w:sz w:val="18"/>
                <w:szCs w:val="18"/>
                <w:lang w:eastAsia="en-US"/>
              </w:rPr>
            </w:pPr>
          </w:p>
        </w:tc>
        <w:tc>
          <w:tcPr>
            <w:tcW w:w="1434" w:type="dxa"/>
            <w:tcBorders>
              <w:top w:val="single" w:color="000000" w:sz="2" w:space="0"/>
              <w:left w:val="single" w:color="000000" w:sz="2" w:space="0"/>
              <w:bottom w:val="single" w:color="000000" w:sz="2" w:space="0"/>
              <w:right w:val="single" w:color="auto" w:sz="8" w:space="0"/>
            </w:tcBorders>
          </w:tcPr>
          <w:p w14:paraId="393657D9">
            <w:pPr>
              <w:kinsoku w:val="0"/>
              <w:autoSpaceDE w:val="0"/>
              <w:autoSpaceDN w:val="0"/>
              <w:adjustRightInd w:val="0"/>
              <w:snapToGrid w:val="0"/>
              <w:rPr>
                <w:rFonts w:ascii="宋体" w:hAnsi="宋体" w:eastAsia="Times New Roman" w:cs="宋体"/>
                <w:color w:val="000000"/>
                <w:kern w:val="0"/>
                <w:sz w:val="18"/>
                <w:szCs w:val="18"/>
                <w:lang w:eastAsia="en-US"/>
              </w:rPr>
            </w:pPr>
          </w:p>
        </w:tc>
      </w:tr>
      <w:tr w14:paraId="68C2F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709" w:type="dxa"/>
            <w:tcBorders>
              <w:top w:val="single" w:color="000000" w:sz="2" w:space="0"/>
              <w:left w:val="single" w:color="auto" w:sz="8" w:space="0"/>
              <w:bottom w:val="single" w:color="000000" w:sz="2" w:space="0"/>
              <w:right w:val="single" w:color="000000" w:sz="2" w:space="0"/>
            </w:tcBorders>
            <w:vAlign w:val="center"/>
          </w:tcPr>
          <w:p w14:paraId="2F6BE2C8">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spacing w:val="-5"/>
                <w:kern w:val="0"/>
                <w:sz w:val="18"/>
                <w:szCs w:val="18"/>
              </w:rPr>
              <w:t>7</w:t>
            </w:r>
          </w:p>
        </w:tc>
        <w:tc>
          <w:tcPr>
            <w:tcW w:w="2279" w:type="dxa"/>
            <w:tcBorders>
              <w:top w:val="single" w:color="000000" w:sz="2" w:space="0"/>
              <w:left w:val="single" w:color="000000" w:sz="2" w:space="0"/>
              <w:bottom w:val="single" w:color="000000" w:sz="2" w:space="0"/>
              <w:right w:val="single" w:color="000000" w:sz="2" w:space="0"/>
            </w:tcBorders>
            <w:vAlign w:val="center"/>
          </w:tcPr>
          <w:p w14:paraId="2533BC32">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spacing w:val="-2"/>
                <w:kern w:val="0"/>
                <w:sz w:val="18"/>
                <w:szCs w:val="18"/>
                <w:lang w:eastAsia="en-US"/>
              </w:rPr>
              <w:t>运达时间</w:t>
            </w:r>
          </w:p>
        </w:tc>
        <w:tc>
          <w:tcPr>
            <w:tcW w:w="4953" w:type="dxa"/>
            <w:tcBorders>
              <w:top w:val="single" w:color="000000" w:sz="2" w:space="0"/>
              <w:left w:val="single" w:color="000000" w:sz="2" w:space="0"/>
              <w:bottom w:val="single" w:color="000000" w:sz="2" w:space="0"/>
              <w:right w:val="single" w:color="000000" w:sz="2" w:space="0"/>
            </w:tcBorders>
          </w:tcPr>
          <w:p w14:paraId="7D298359">
            <w:pPr>
              <w:kinsoku w:val="0"/>
              <w:autoSpaceDE w:val="0"/>
              <w:autoSpaceDN w:val="0"/>
              <w:adjustRightInd w:val="0"/>
              <w:snapToGrid w:val="0"/>
              <w:rPr>
                <w:rFonts w:ascii="宋体" w:hAnsi="宋体" w:eastAsia="Times New Roman" w:cs="宋体"/>
                <w:color w:val="000000"/>
                <w:kern w:val="0"/>
                <w:sz w:val="18"/>
                <w:szCs w:val="18"/>
                <w:lang w:eastAsia="en-US"/>
              </w:rPr>
            </w:pPr>
          </w:p>
        </w:tc>
        <w:tc>
          <w:tcPr>
            <w:tcW w:w="1434" w:type="dxa"/>
            <w:tcBorders>
              <w:top w:val="single" w:color="000000" w:sz="2" w:space="0"/>
              <w:left w:val="single" w:color="000000" w:sz="2" w:space="0"/>
              <w:bottom w:val="single" w:color="000000" w:sz="2" w:space="0"/>
              <w:right w:val="single" w:color="auto" w:sz="8" w:space="0"/>
            </w:tcBorders>
          </w:tcPr>
          <w:p w14:paraId="7CAED295">
            <w:pPr>
              <w:kinsoku w:val="0"/>
              <w:autoSpaceDE w:val="0"/>
              <w:autoSpaceDN w:val="0"/>
              <w:adjustRightInd w:val="0"/>
              <w:snapToGrid w:val="0"/>
              <w:rPr>
                <w:rFonts w:ascii="宋体" w:hAnsi="宋体" w:eastAsia="Times New Roman" w:cs="宋体"/>
                <w:color w:val="000000"/>
                <w:kern w:val="0"/>
                <w:sz w:val="18"/>
                <w:szCs w:val="18"/>
                <w:lang w:eastAsia="en-US"/>
              </w:rPr>
            </w:pPr>
          </w:p>
        </w:tc>
      </w:tr>
      <w:tr w14:paraId="03624F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709" w:type="dxa"/>
            <w:tcBorders>
              <w:top w:val="single" w:color="000000" w:sz="2" w:space="0"/>
              <w:left w:val="single" w:color="auto" w:sz="8" w:space="0"/>
              <w:bottom w:val="single" w:color="000000" w:sz="2" w:space="0"/>
              <w:right w:val="single" w:color="000000" w:sz="2" w:space="0"/>
            </w:tcBorders>
            <w:vAlign w:val="center"/>
          </w:tcPr>
          <w:p w14:paraId="365CC787">
            <w:pPr>
              <w:kinsoku w:val="0"/>
              <w:autoSpaceDE w:val="0"/>
              <w:autoSpaceDN w:val="0"/>
              <w:adjustRightInd w:val="0"/>
              <w:snapToGrid w:val="0"/>
              <w:jc w:val="center"/>
              <w:rPr>
                <w:rFonts w:ascii="宋体" w:hAnsi="宋体" w:eastAsia="Times New Roman" w:cs="宋体"/>
                <w:color w:val="000000"/>
                <w:kern w:val="0"/>
                <w:sz w:val="18"/>
                <w:szCs w:val="18"/>
              </w:rPr>
            </w:pPr>
            <w:r>
              <w:rPr>
                <w:rFonts w:hint="eastAsia" w:ascii="宋体" w:hAnsi="宋体" w:eastAsia="Times New Roman" w:cs="宋体"/>
                <w:color w:val="000000"/>
                <w:spacing w:val="-5"/>
                <w:kern w:val="0"/>
                <w:sz w:val="18"/>
                <w:szCs w:val="18"/>
              </w:rPr>
              <w:t>8</w:t>
            </w:r>
          </w:p>
        </w:tc>
        <w:tc>
          <w:tcPr>
            <w:tcW w:w="2279" w:type="dxa"/>
            <w:tcBorders>
              <w:top w:val="single" w:color="000000" w:sz="2" w:space="0"/>
              <w:left w:val="single" w:color="000000" w:sz="2" w:space="0"/>
              <w:bottom w:val="single" w:color="000000" w:sz="2" w:space="0"/>
              <w:right w:val="single" w:color="000000" w:sz="2" w:space="0"/>
            </w:tcBorders>
            <w:vAlign w:val="center"/>
          </w:tcPr>
          <w:p w14:paraId="201E7899">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spacing w:val="-1"/>
                <w:kern w:val="0"/>
                <w:sz w:val="18"/>
                <w:szCs w:val="18"/>
                <w:lang w:eastAsia="en-US"/>
              </w:rPr>
              <w:t>运输环境温度/℃</w:t>
            </w:r>
          </w:p>
        </w:tc>
        <w:tc>
          <w:tcPr>
            <w:tcW w:w="4953" w:type="dxa"/>
            <w:tcBorders>
              <w:top w:val="single" w:color="000000" w:sz="2" w:space="0"/>
              <w:left w:val="single" w:color="000000" w:sz="2" w:space="0"/>
              <w:bottom w:val="single" w:color="000000" w:sz="2" w:space="0"/>
              <w:right w:val="single" w:color="000000" w:sz="2" w:space="0"/>
            </w:tcBorders>
          </w:tcPr>
          <w:p w14:paraId="70BCF7CA">
            <w:pPr>
              <w:kinsoku w:val="0"/>
              <w:autoSpaceDE w:val="0"/>
              <w:autoSpaceDN w:val="0"/>
              <w:adjustRightInd w:val="0"/>
              <w:snapToGrid w:val="0"/>
              <w:rPr>
                <w:rFonts w:ascii="宋体" w:hAnsi="宋体" w:eastAsia="Times New Roman" w:cs="宋体"/>
                <w:color w:val="000000"/>
                <w:kern w:val="0"/>
                <w:sz w:val="18"/>
                <w:szCs w:val="18"/>
                <w:lang w:eastAsia="en-US"/>
              </w:rPr>
            </w:pPr>
          </w:p>
        </w:tc>
        <w:tc>
          <w:tcPr>
            <w:tcW w:w="1434" w:type="dxa"/>
            <w:tcBorders>
              <w:top w:val="single" w:color="000000" w:sz="2" w:space="0"/>
              <w:left w:val="single" w:color="000000" w:sz="2" w:space="0"/>
              <w:bottom w:val="single" w:color="000000" w:sz="2" w:space="0"/>
              <w:right w:val="single" w:color="auto" w:sz="8" w:space="0"/>
            </w:tcBorders>
          </w:tcPr>
          <w:p w14:paraId="65835926">
            <w:pPr>
              <w:kinsoku w:val="0"/>
              <w:autoSpaceDE w:val="0"/>
              <w:autoSpaceDN w:val="0"/>
              <w:adjustRightInd w:val="0"/>
              <w:snapToGrid w:val="0"/>
              <w:rPr>
                <w:rFonts w:ascii="宋体" w:hAnsi="宋体" w:eastAsia="Times New Roman" w:cs="宋体"/>
                <w:color w:val="000000"/>
                <w:kern w:val="0"/>
                <w:sz w:val="18"/>
                <w:szCs w:val="18"/>
                <w:lang w:eastAsia="en-US"/>
              </w:rPr>
            </w:pPr>
          </w:p>
        </w:tc>
      </w:tr>
      <w:tr w14:paraId="5EBDFF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trPr>
        <w:tc>
          <w:tcPr>
            <w:tcW w:w="709" w:type="dxa"/>
            <w:tcBorders>
              <w:top w:val="single" w:color="000000" w:sz="2" w:space="0"/>
              <w:left w:val="single" w:color="auto" w:sz="8" w:space="0"/>
              <w:bottom w:val="single" w:color="000000" w:sz="2" w:space="0"/>
              <w:right w:val="single" w:color="000000" w:sz="2" w:space="0"/>
            </w:tcBorders>
            <w:vAlign w:val="center"/>
          </w:tcPr>
          <w:p w14:paraId="40D4C35B">
            <w:pPr>
              <w:kinsoku w:val="0"/>
              <w:autoSpaceDE w:val="0"/>
              <w:autoSpaceDN w:val="0"/>
              <w:adjustRightInd w:val="0"/>
              <w:snapToGrid w:val="0"/>
              <w:jc w:val="center"/>
              <w:rPr>
                <w:rFonts w:ascii="宋体" w:hAnsi="宋体" w:eastAsia="Times New Roman" w:cs="宋体"/>
                <w:color w:val="000000"/>
                <w:kern w:val="0"/>
                <w:sz w:val="18"/>
                <w:szCs w:val="18"/>
              </w:rPr>
            </w:pPr>
            <w:r>
              <w:rPr>
                <w:rFonts w:hint="eastAsia" w:ascii="宋体" w:hAnsi="宋体" w:eastAsia="Times New Roman" w:cs="宋体"/>
                <w:color w:val="000000"/>
                <w:spacing w:val="-5"/>
                <w:kern w:val="0"/>
                <w:sz w:val="18"/>
                <w:szCs w:val="18"/>
              </w:rPr>
              <w:t>9</w:t>
            </w:r>
          </w:p>
        </w:tc>
        <w:tc>
          <w:tcPr>
            <w:tcW w:w="2279" w:type="dxa"/>
            <w:tcBorders>
              <w:top w:val="single" w:color="000000" w:sz="2" w:space="0"/>
              <w:left w:val="single" w:color="000000" w:sz="2" w:space="0"/>
              <w:bottom w:val="single" w:color="000000" w:sz="2" w:space="0"/>
              <w:right w:val="single" w:color="000000" w:sz="2" w:space="0"/>
            </w:tcBorders>
            <w:vAlign w:val="center"/>
          </w:tcPr>
          <w:p w14:paraId="6BD0E225">
            <w:pPr>
              <w:kinsoku w:val="0"/>
              <w:autoSpaceDE w:val="0"/>
              <w:autoSpaceDN w:val="0"/>
              <w:adjustRightInd w:val="0"/>
              <w:snapToGrid w:val="0"/>
              <w:jc w:val="center"/>
              <w:rPr>
                <w:rFonts w:ascii="宋体" w:hAnsi="宋体" w:eastAsia="Times New Roman" w:cs="宋体"/>
                <w:color w:val="000000"/>
                <w:kern w:val="0"/>
                <w:sz w:val="18"/>
                <w:szCs w:val="18"/>
                <w:lang w:eastAsia="en-US"/>
              </w:rPr>
            </w:pPr>
            <w:r>
              <w:rPr>
                <w:rFonts w:hint="eastAsia" w:ascii="宋体" w:hAnsi="宋体" w:eastAsia="Times New Roman" w:cs="宋体"/>
                <w:color w:val="000000"/>
                <w:spacing w:val="-1"/>
                <w:kern w:val="0"/>
                <w:sz w:val="18"/>
                <w:szCs w:val="18"/>
                <w:lang w:eastAsia="en-US"/>
              </w:rPr>
              <w:t>运输环境相对湿度/％</w:t>
            </w:r>
          </w:p>
        </w:tc>
        <w:tc>
          <w:tcPr>
            <w:tcW w:w="4953" w:type="dxa"/>
            <w:tcBorders>
              <w:top w:val="single" w:color="000000" w:sz="2" w:space="0"/>
              <w:left w:val="single" w:color="000000" w:sz="2" w:space="0"/>
              <w:bottom w:val="single" w:color="000000" w:sz="2" w:space="0"/>
              <w:right w:val="single" w:color="000000" w:sz="2" w:space="0"/>
            </w:tcBorders>
          </w:tcPr>
          <w:p w14:paraId="10DE21DF">
            <w:pPr>
              <w:kinsoku w:val="0"/>
              <w:autoSpaceDE w:val="0"/>
              <w:autoSpaceDN w:val="0"/>
              <w:adjustRightInd w:val="0"/>
              <w:snapToGrid w:val="0"/>
              <w:rPr>
                <w:rFonts w:ascii="宋体" w:hAnsi="宋体" w:eastAsia="Times New Roman" w:cs="宋体"/>
                <w:color w:val="000000"/>
                <w:kern w:val="0"/>
                <w:sz w:val="18"/>
                <w:szCs w:val="18"/>
                <w:lang w:eastAsia="en-US"/>
              </w:rPr>
            </w:pPr>
          </w:p>
        </w:tc>
        <w:tc>
          <w:tcPr>
            <w:tcW w:w="1434" w:type="dxa"/>
            <w:tcBorders>
              <w:top w:val="single" w:color="000000" w:sz="2" w:space="0"/>
              <w:left w:val="single" w:color="000000" w:sz="2" w:space="0"/>
              <w:bottom w:val="single" w:color="000000" w:sz="2" w:space="0"/>
              <w:right w:val="single" w:color="auto" w:sz="8" w:space="0"/>
            </w:tcBorders>
          </w:tcPr>
          <w:p w14:paraId="13BCADB3">
            <w:pPr>
              <w:kinsoku w:val="0"/>
              <w:autoSpaceDE w:val="0"/>
              <w:autoSpaceDN w:val="0"/>
              <w:adjustRightInd w:val="0"/>
              <w:snapToGrid w:val="0"/>
              <w:rPr>
                <w:rFonts w:ascii="宋体" w:hAnsi="宋体" w:eastAsia="Times New Roman" w:cs="宋体"/>
                <w:color w:val="000000"/>
                <w:kern w:val="0"/>
                <w:sz w:val="18"/>
                <w:szCs w:val="18"/>
                <w:lang w:eastAsia="en-US"/>
              </w:rPr>
            </w:pPr>
          </w:p>
        </w:tc>
      </w:tr>
      <w:tr w14:paraId="0077D1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trPr>
        <w:tc>
          <w:tcPr>
            <w:tcW w:w="9375" w:type="dxa"/>
            <w:gridSpan w:val="4"/>
            <w:tcBorders>
              <w:top w:val="single" w:color="000000" w:sz="2" w:space="0"/>
              <w:left w:val="single" w:color="auto" w:sz="8" w:space="0"/>
              <w:bottom w:val="single" w:color="auto" w:sz="8" w:space="0"/>
              <w:right w:val="single" w:color="auto" w:sz="8" w:space="0"/>
            </w:tcBorders>
            <w:vAlign w:val="center"/>
          </w:tcPr>
          <w:p w14:paraId="3C2A0CFD">
            <w:pPr>
              <w:pStyle w:val="179"/>
              <w:rPr>
                <w:rFonts w:hAnsi="Arial" w:eastAsia="Times New Roman" w:cs="Arial"/>
                <w:lang w:eastAsia="en-US"/>
              </w:rPr>
            </w:pPr>
          </w:p>
        </w:tc>
      </w:tr>
    </w:tbl>
    <w:p w14:paraId="26C77B51">
      <w:pPr>
        <w:pStyle w:val="56"/>
        <w:ind w:firstLine="0" w:firstLineChars="0"/>
        <w:jc w:val="center"/>
      </w:pPr>
    </w:p>
    <w:bookmarkEnd w:id="217"/>
    <w:p w14:paraId="613FEC10">
      <w:pPr>
        <w:pStyle w:val="56"/>
        <w:ind w:firstLine="0" w:firstLineChars="0"/>
        <w:jc w:val="center"/>
        <w:sectPr>
          <w:pgSz w:w="11906" w:h="16838"/>
          <w:pgMar w:top="1928" w:right="1134" w:bottom="1134" w:left="1134" w:header="1418" w:footer="1134" w:gutter="284"/>
          <w:cols w:space="425" w:num="1"/>
          <w:formProt w:val="0"/>
          <w:docGrid w:linePitch="312" w:charSpace="0"/>
        </w:sectPr>
      </w:pPr>
      <w:bookmarkStart w:id="225" w:name="BookMark6"/>
    </w:p>
    <w:p w14:paraId="632C34F1">
      <w:pPr>
        <w:pStyle w:val="63"/>
        <w:spacing w:after="120"/>
      </w:pPr>
      <w:bookmarkStart w:id="226" w:name="_Toc207213886"/>
      <w:bookmarkStart w:id="227" w:name="_Toc207285777"/>
      <w:bookmarkStart w:id="228" w:name="_Toc207294357"/>
      <w:bookmarkStart w:id="229" w:name="_Toc206588632"/>
      <w:bookmarkStart w:id="230" w:name="_Toc207978108"/>
      <w:r>
        <w:rPr>
          <w:rFonts w:hint="eastAsia"/>
          <w:spacing w:val="105"/>
        </w:rPr>
        <w:t>参考文</w:t>
      </w:r>
      <w:r>
        <w:rPr>
          <w:rFonts w:hint="eastAsia"/>
        </w:rPr>
        <w:t>献</w:t>
      </w:r>
      <w:bookmarkEnd w:id="226"/>
      <w:bookmarkEnd w:id="227"/>
      <w:bookmarkEnd w:id="228"/>
      <w:bookmarkEnd w:id="229"/>
      <w:bookmarkEnd w:id="230"/>
    </w:p>
    <w:p w14:paraId="24F012D5">
      <w:pPr>
        <w:pStyle w:val="56"/>
        <w:ind w:firstLine="420"/>
      </w:pPr>
      <w:bookmarkStart w:id="231" w:name="OLE_LINK126"/>
      <w:bookmarkStart w:id="232" w:name="OLE_LINK127"/>
      <w:r>
        <w:t xml:space="preserve">[1]  </w:t>
      </w:r>
      <w:bookmarkEnd w:id="231"/>
      <w:bookmarkEnd w:id="232"/>
      <w:r>
        <w:rPr>
          <w:rFonts w:hint="eastAsia"/>
        </w:rPr>
        <w:t>GB/T 27638</w:t>
      </w:r>
      <w:r>
        <w:t xml:space="preserve"> </w:t>
      </w:r>
      <w:r>
        <w:rPr>
          <w:rFonts w:hint="eastAsia"/>
        </w:rPr>
        <w:t xml:space="preserve"> 活鱼运输技术规范</w:t>
      </w:r>
    </w:p>
    <w:p w14:paraId="1AF96952">
      <w:pPr>
        <w:pStyle w:val="56"/>
        <w:ind w:firstLine="420"/>
      </w:pPr>
      <w:r>
        <w:t xml:space="preserve">[2]  </w:t>
      </w:r>
      <w:r>
        <w:rPr>
          <w:rFonts w:hint="eastAsia"/>
        </w:rPr>
        <w:t>GB 31605</w:t>
      </w:r>
      <w:r>
        <w:t xml:space="preserve"> </w:t>
      </w:r>
      <w:r>
        <w:rPr>
          <w:rFonts w:hint="eastAsia"/>
        </w:rPr>
        <w:t xml:space="preserve"> 食品安全国家标准 食品冷链物流卫生规范</w:t>
      </w:r>
    </w:p>
    <w:p w14:paraId="7D63BF22">
      <w:pPr>
        <w:pStyle w:val="56"/>
        <w:ind w:firstLine="420"/>
      </w:pPr>
    </w:p>
    <w:bookmarkEnd w:id="225"/>
    <w:p w14:paraId="3D87204F">
      <w:pPr>
        <w:pStyle w:val="56"/>
        <w:ind w:firstLine="0" w:firstLineChars="0"/>
        <w:jc w:val="center"/>
      </w:pPr>
      <w:bookmarkStart w:id="233"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33"/>
    </w:p>
    <w:sectPr>
      <w:pgSz w:w="11906" w:h="16838"/>
      <w:pgMar w:top="1928" w:right="1134" w:bottom="1134" w:left="1134" w:header="1418" w:footer="1134" w:gutter="284"/>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F137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4D64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355F8">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F5673">
    <w:pPr>
      <w:pStyle w:val="52"/>
    </w:pPr>
    <w:r>
      <w:fldChar w:fldCharType="begin"/>
    </w:r>
    <w:r>
      <w:instrText xml:space="preserve">PAGE   \* MERGEFORMAT</w:instrText>
    </w:r>
    <w:r>
      <w:fldChar w:fldCharType="separate"/>
    </w:r>
    <w:r>
      <w:rPr>
        <w:lang w:val="zh-CN"/>
      </w:rP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3D5B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4FC0F">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FD0B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D1851">
    <w:pPr>
      <w:pStyle w:val="61"/>
      <w:wordWrap w:val="0"/>
    </w:pPr>
    <w:r>
      <w:rPr>
        <w:rFonts w:hint="eastAsia"/>
      </w:rPr>
      <w:t>T/GXYYXH XXXX—2025</w:t>
    </w:r>
  </w:p>
  <w:p w14:paraId="0B04395F">
    <w:pPr>
      <w:pStyle w:val="61"/>
    </w:pPr>
    <w:r>
      <w:fldChar w:fldCharType="begin"/>
    </w:r>
    <w:r>
      <w:instrText xml:space="preserve"> STYLEREF  标准文件_文件编号  \* MERGEFORMAT </w:instrText>
    </w:r>
    <w:r>
      <w:fldChar w:fldCharType="separate"/>
    </w:r>
    <w:r>
      <w:t>T/GXAS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1D0F9">
    <w:pPr>
      <w:pStyle w:val="18"/>
      <w:jc w:val="right"/>
    </w:pPr>
    <w:r>
      <w:fldChar w:fldCharType="begin"/>
    </w:r>
    <w:r>
      <w:instrText xml:space="preserve"> STYLEREF  标准文件_文件编号  \* MERGEFORMAT </w:instrText>
    </w:r>
    <w:r>
      <w:fldChar w:fldCharType="separate"/>
    </w:r>
    <w:r>
      <w:t>T/GXAS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81E"/>
    <w:rsid w:val="0000040A"/>
    <w:rsid w:val="00000A94"/>
    <w:rsid w:val="00001972"/>
    <w:rsid w:val="00001D9A"/>
    <w:rsid w:val="000054D8"/>
    <w:rsid w:val="00007B3A"/>
    <w:rsid w:val="000107E0"/>
    <w:rsid w:val="00011FDE"/>
    <w:rsid w:val="00012FFD"/>
    <w:rsid w:val="00014162"/>
    <w:rsid w:val="00014340"/>
    <w:rsid w:val="00016A9C"/>
    <w:rsid w:val="00022184"/>
    <w:rsid w:val="00022762"/>
    <w:rsid w:val="000238E0"/>
    <w:rsid w:val="000249DB"/>
    <w:rsid w:val="0002595E"/>
    <w:rsid w:val="000303C3"/>
    <w:rsid w:val="00031EF9"/>
    <w:rsid w:val="000328EC"/>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229"/>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79A"/>
    <w:rsid w:val="000A0B60"/>
    <w:rsid w:val="000A0EB8"/>
    <w:rsid w:val="000A19FC"/>
    <w:rsid w:val="000A296B"/>
    <w:rsid w:val="000A7311"/>
    <w:rsid w:val="000B060F"/>
    <w:rsid w:val="000B1592"/>
    <w:rsid w:val="000B1FF2"/>
    <w:rsid w:val="000B3CDA"/>
    <w:rsid w:val="000B6A0B"/>
    <w:rsid w:val="000C0BC5"/>
    <w:rsid w:val="000C0F6C"/>
    <w:rsid w:val="000C11DB"/>
    <w:rsid w:val="000C1492"/>
    <w:rsid w:val="000C2FBD"/>
    <w:rsid w:val="000C4B41"/>
    <w:rsid w:val="000C57D6"/>
    <w:rsid w:val="000C6362"/>
    <w:rsid w:val="000C7666"/>
    <w:rsid w:val="000D0A9C"/>
    <w:rsid w:val="000D1795"/>
    <w:rsid w:val="000D31D6"/>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04A64"/>
    <w:rsid w:val="00113B1E"/>
    <w:rsid w:val="0011561D"/>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4EDE"/>
    <w:rsid w:val="00156B25"/>
    <w:rsid w:val="00156E1A"/>
    <w:rsid w:val="00157600"/>
    <w:rsid w:val="00157894"/>
    <w:rsid w:val="00157B55"/>
    <w:rsid w:val="001642FA"/>
    <w:rsid w:val="001649EB"/>
    <w:rsid w:val="00164BAF"/>
    <w:rsid w:val="00164FA8"/>
    <w:rsid w:val="00165065"/>
    <w:rsid w:val="00165434"/>
    <w:rsid w:val="0016580B"/>
    <w:rsid w:val="00165B10"/>
    <w:rsid w:val="00165F49"/>
    <w:rsid w:val="00166B88"/>
    <w:rsid w:val="0016770A"/>
    <w:rsid w:val="00170804"/>
    <w:rsid w:val="001708E9"/>
    <w:rsid w:val="0017150F"/>
    <w:rsid w:val="0017340B"/>
    <w:rsid w:val="00173FB1"/>
    <w:rsid w:val="00176DFD"/>
    <w:rsid w:val="001834C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1166"/>
    <w:rsid w:val="001B71D0"/>
    <w:rsid w:val="001B71EE"/>
    <w:rsid w:val="001C04A8"/>
    <w:rsid w:val="001C08AF"/>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6D1"/>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B32"/>
    <w:rsid w:val="00206FA1"/>
    <w:rsid w:val="00207D26"/>
    <w:rsid w:val="00210B15"/>
    <w:rsid w:val="0021381E"/>
    <w:rsid w:val="002142EA"/>
    <w:rsid w:val="00215ADD"/>
    <w:rsid w:val="002204BB"/>
    <w:rsid w:val="00221B79"/>
    <w:rsid w:val="00221C6B"/>
    <w:rsid w:val="002253A1"/>
    <w:rsid w:val="00225CF8"/>
    <w:rsid w:val="0022794E"/>
    <w:rsid w:val="00227D75"/>
    <w:rsid w:val="00233D64"/>
    <w:rsid w:val="0023482A"/>
    <w:rsid w:val="002359CB"/>
    <w:rsid w:val="0024079B"/>
    <w:rsid w:val="0024159C"/>
    <w:rsid w:val="00243540"/>
    <w:rsid w:val="00243701"/>
    <w:rsid w:val="0024497B"/>
    <w:rsid w:val="0024515B"/>
    <w:rsid w:val="00246021"/>
    <w:rsid w:val="0024666E"/>
    <w:rsid w:val="00247F52"/>
    <w:rsid w:val="00250B25"/>
    <w:rsid w:val="00250BBE"/>
    <w:rsid w:val="002512CA"/>
    <w:rsid w:val="002515C2"/>
    <w:rsid w:val="0025194F"/>
    <w:rsid w:val="0025635D"/>
    <w:rsid w:val="00256606"/>
    <w:rsid w:val="0026148A"/>
    <w:rsid w:val="00262696"/>
    <w:rsid w:val="00263D25"/>
    <w:rsid w:val="002643C3"/>
    <w:rsid w:val="00264A0C"/>
    <w:rsid w:val="00266EEB"/>
    <w:rsid w:val="00267EF4"/>
    <w:rsid w:val="00270CB8"/>
    <w:rsid w:val="00272B08"/>
    <w:rsid w:val="0028050E"/>
    <w:rsid w:val="00281BB8"/>
    <w:rsid w:val="00281E9E"/>
    <w:rsid w:val="00282405"/>
    <w:rsid w:val="0028477C"/>
    <w:rsid w:val="00285170"/>
    <w:rsid w:val="00285361"/>
    <w:rsid w:val="00292D60"/>
    <w:rsid w:val="00293B30"/>
    <w:rsid w:val="00294D34"/>
    <w:rsid w:val="00294E3B"/>
    <w:rsid w:val="00296193"/>
    <w:rsid w:val="00296C66"/>
    <w:rsid w:val="00296EBE"/>
    <w:rsid w:val="002974E3"/>
    <w:rsid w:val="002A084B"/>
    <w:rsid w:val="002A117F"/>
    <w:rsid w:val="002A1260"/>
    <w:rsid w:val="002A1589"/>
    <w:rsid w:val="002A1608"/>
    <w:rsid w:val="002A1D16"/>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5178"/>
    <w:rsid w:val="002D6EC6"/>
    <w:rsid w:val="002D79AC"/>
    <w:rsid w:val="002E039D"/>
    <w:rsid w:val="002E4D5A"/>
    <w:rsid w:val="002E6326"/>
    <w:rsid w:val="002F30E0"/>
    <w:rsid w:val="002F35E4"/>
    <w:rsid w:val="002F3730"/>
    <w:rsid w:val="002F3782"/>
    <w:rsid w:val="002F38E1"/>
    <w:rsid w:val="002F7AF6"/>
    <w:rsid w:val="00300E63"/>
    <w:rsid w:val="00302F5F"/>
    <w:rsid w:val="0030441D"/>
    <w:rsid w:val="00306063"/>
    <w:rsid w:val="00313B85"/>
    <w:rsid w:val="00317988"/>
    <w:rsid w:val="003221B4"/>
    <w:rsid w:val="0032258D"/>
    <w:rsid w:val="00322E62"/>
    <w:rsid w:val="00324D13"/>
    <w:rsid w:val="00324EDD"/>
    <w:rsid w:val="00332999"/>
    <w:rsid w:val="003331E4"/>
    <w:rsid w:val="00336C64"/>
    <w:rsid w:val="00337162"/>
    <w:rsid w:val="0034194F"/>
    <w:rsid w:val="00344605"/>
    <w:rsid w:val="003458EC"/>
    <w:rsid w:val="003474AA"/>
    <w:rsid w:val="00350D0C"/>
    <w:rsid w:val="00350D1D"/>
    <w:rsid w:val="00352BBC"/>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106"/>
    <w:rsid w:val="00392AD7"/>
    <w:rsid w:val="003938D9"/>
    <w:rsid w:val="00394376"/>
    <w:rsid w:val="003943FF"/>
    <w:rsid w:val="003974EB"/>
    <w:rsid w:val="00397CC5"/>
    <w:rsid w:val="003A11D1"/>
    <w:rsid w:val="003A151F"/>
    <w:rsid w:val="003A1582"/>
    <w:rsid w:val="003A3D9C"/>
    <w:rsid w:val="003A4077"/>
    <w:rsid w:val="003A4AA7"/>
    <w:rsid w:val="003A4E72"/>
    <w:rsid w:val="003A6116"/>
    <w:rsid w:val="003A6F65"/>
    <w:rsid w:val="003B09AD"/>
    <w:rsid w:val="003B1F18"/>
    <w:rsid w:val="003B5BF0"/>
    <w:rsid w:val="003B60BF"/>
    <w:rsid w:val="003B6BE3"/>
    <w:rsid w:val="003C010C"/>
    <w:rsid w:val="003C0A6C"/>
    <w:rsid w:val="003C14F8"/>
    <w:rsid w:val="003C1569"/>
    <w:rsid w:val="003C35AA"/>
    <w:rsid w:val="003C5606"/>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294"/>
    <w:rsid w:val="00400E72"/>
    <w:rsid w:val="00401400"/>
    <w:rsid w:val="00404869"/>
    <w:rsid w:val="00405884"/>
    <w:rsid w:val="00407D39"/>
    <w:rsid w:val="0041477A"/>
    <w:rsid w:val="00414E39"/>
    <w:rsid w:val="004167A3"/>
    <w:rsid w:val="00425C06"/>
    <w:rsid w:val="00432DAA"/>
    <w:rsid w:val="00434305"/>
    <w:rsid w:val="00435DF7"/>
    <w:rsid w:val="0043741A"/>
    <w:rsid w:val="00437BD6"/>
    <w:rsid w:val="0044083F"/>
    <w:rsid w:val="00441AE7"/>
    <w:rsid w:val="00445574"/>
    <w:rsid w:val="004467FB"/>
    <w:rsid w:val="00452D6B"/>
    <w:rsid w:val="00454484"/>
    <w:rsid w:val="0045517B"/>
    <w:rsid w:val="00463B77"/>
    <w:rsid w:val="00463C7B"/>
    <w:rsid w:val="004644A6"/>
    <w:rsid w:val="004659BD"/>
    <w:rsid w:val="00470775"/>
    <w:rsid w:val="004712A9"/>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4F1D"/>
    <w:rsid w:val="004C7556"/>
    <w:rsid w:val="004C7E8B"/>
    <w:rsid w:val="004C7E9D"/>
    <w:rsid w:val="004C7F67"/>
    <w:rsid w:val="004D076D"/>
    <w:rsid w:val="004D0EF1"/>
    <w:rsid w:val="004D2253"/>
    <w:rsid w:val="004D4406"/>
    <w:rsid w:val="004D5093"/>
    <w:rsid w:val="004D7C42"/>
    <w:rsid w:val="004E0465"/>
    <w:rsid w:val="004E127B"/>
    <w:rsid w:val="004E1C0A"/>
    <w:rsid w:val="004E30C5"/>
    <w:rsid w:val="004E4AA5"/>
    <w:rsid w:val="004E4AEE"/>
    <w:rsid w:val="004E59E3"/>
    <w:rsid w:val="004E67C0"/>
    <w:rsid w:val="004F391A"/>
    <w:rsid w:val="004F3CFB"/>
    <w:rsid w:val="004F6456"/>
    <w:rsid w:val="004F696E"/>
    <w:rsid w:val="004F6983"/>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EA9"/>
    <w:rsid w:val="005220EC"/>
    <w:rsid w:val="00523F95"/>
    <w:rsid w:val="00524D65"/>
    <w:rsid w:val="00525B16"/>
    <w:rsid w:val="00533D04"/>
    <w:rsid w:val="00534804"/>
    <w:rsid w:val="00534BDF"/>
    <w:rsid w:val="005354EA"/>
    <w:rsid w:val="0053585F"/>
    <w:rsid w:val="00535EC4"/>
    <w:rsid w:val="00535ED9"/>
    <w:rsid w:val="0053692B"/>
    <w:rsid w:val="0053700D"/>
    <w:rsid w:val="00541682"/>
    <w:rsid w:val="00541853"/>
    <w:rsid w:val="00543BDA"/>
    <w:rsid w:val="005441CC"/>
    <w:rsid w:val="005471FD"/>
    <w:rsid w:val="005479DA"/>
    <w:rsid w:val="00547BCC"/>
    <w:rsid w:val="0055013B"/>
    <w:rsid w:val="00551F6F"/>
    <w:rsid w:val="00555044"/>
    <w:rsid w:val="00560FDE"/>
    <w:rsid w:val="00561475"/>
    <w:rsid w:val="00562308"/>
    <w:rsid w:val="0056487B"/>
    <w:rsid w:val="00564FB9"/>
    <w:rsid w:val="0056734E"/>
    <w:rsid w:val="00573D9E"/>
    <w:rsid w:val="005801E3"/>
    <w:rsid w:val="00581802"/>
    <w:rsid w:val="005836A8"/>
    <w:rsid w:val="0058409C"/>
    <w:rsid w:val="00584262"/>
    <w:rsid w:val="00584AFF"/>
    <w:rsid w:val="00585C54"/>
    <w:rsid w:val="00586630"/>
    <w:rsid w:val="00587ADD"/>
    <w:rsid w:val="00593A49"/>
    <w:rsid w:val="00596160"/>
    <w:rsid w:val="005966E2"/>
    <w:rsid w:val="00597007"/>
    <w:rsid w:val="005A0966"/>
    <w:rsid w:val="005A0C9E"/>
    <w:rsid w:val="005A11B7"/>
    <w:rsid w:val="005A16A9"/>
    <w:rsid w:val="005A260B"/>
    <w:rsid w:val="005A4A1B"/>
    <w:rsid w:val="005A7830"/>
    <w:rsid w:val="005A7FCE"/>
    <w:rsid w:val="005B0F3F"/>
    <w:rsid w:val="005B191C"/>
    <w:rsid w:val="005B4903"/>
    <w:rsid w:val="005B51CE"/>
    <w:rsid w:val="005B5885"/>
    <w:rsid w:val="005B59C8"/>
    <w:rsid w:val="005B5CD7"/>
    <w:rsid w:val="005B6CF6"/>
    <w:rsid w:val="005B7422"/>
    <w:rsid w:val="005C29B8"/>
    <w:rsid w:val="005C5F21"/>
    <w:rsid w:val="005C6664"/>
    <w:rsid w:val="005C7156"/>
    <w:rsid w:val="005D0C75"/>
    <w:rsid w:val="005D10B0"/>
    <w:rsid w:val="005D1BA9"/>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5690"/>
    <w:rsid w:val="00606419"/>
    <w:rsid w:val="00607D29"/>
    <w:rsid w:val="00612952"/>
    <w:rsid w:val="00614CC1"/>
    <w:rsid w:val="00615A9D"/>
    <w:rsid w:val="00617387"/>
    <w:rsid w:val="006205D6"/>
    <w:rsid w:val="00623B8B"/>
    <w:rsid w:val="006252D8"/>
    <w:rsid w:val="006259BC"/>
    <w:rsid w:val="0062636B"/>
    <w:rsid w:val="006308D4"/>
    <w:rsid w:val="00632182"/>
    <w:rsid w:val="00632AE0"/>
    <w:rsid w:val="00633A53"/>
    <w:rsid w:val="00633C17"/>
    <w:rsid w:val="00634D9E"/>
    <w:rsid w:val="00636E3E"/>
    <w:rsid w:val="006379F7"/>
    <w:rsid w:val="00637E4D"/>
    <w:rsid w:val="00640620"/>
    <w:rsid w:val="00641A1F"/>
    <w:rsid w:val="00645904"/>
    <w:rsid w:val="006506DF"/>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E36"/>
    <w:rsid w:val="006816A4"/>
    <w:rsid w:val="006819B8"/>
    <w:rsid w:val="006840A6"/>
    <w:rsid w:val="006845E5"/>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B39"/>
    <w:rsid w:val="006E449A"/>
    <w:rsid w:val="006E44CF"/>
    <w:rsid w:val="006F03A8"/>
    <w:rsid w:val="006F2ACA"/>
    <w:rsid w:val="006F2ADC"/>
    <w:rsid w:val="006F2BFE"/>
    <w:rsid w:val="006F31E9"/>
    <w:rsid w:val="006F6284"/>
    <w:rsid w:val="007002C5"/>
    <w:rsid w:val="00700450"/>
    <w:rsid w:val="00704387"/>
    <w:rsid w:val="007043AB"/>
    <w:rsid w:val="00707669"/>
    <w:rsid w:val="00711CBA"/>
    <w:rsid w:val="00711FB5"/>
    <w:rsid w:val="00712A01"/>
    <w:rsid w:val="00714F58"/>
    <w:rsid w:val="00721695"/>
    <w:rsid w:val="00722FBF"/>
    <w:rsid w:val="00722FC2"/>
    <w:rsid w:val="00724E1B"/>
    <w:rsid w:val="00725949"/>
    <w:rsid w:val="00727FA2"/>
    <w:rsid w:val="00731E04"/>
    <w:rsid w:val="007322D9"/>
    <w:rsid w:val="00732BC0"/>
    <w:rsid w:val="0073720F"/>
    <w:rsid w:val="00737796"/>
    <w:rsid w:val="007408A1"/>
    <w:rsid w:val="0074165C"/>
    <w:rsid w:val="00742C35"/>
    <w:rsid w:val="007432CA"/>
    <w:rsid w:val="007439EB"/>
    <w:rsid w:val="00743CB4"/>
    <w:rsid w:val="00743F0A"/>
    <w:rsid w:val="007444E8"/>
    <w:rsid w:val="00744FDE"/>
    <w:rsid w:val="0074548E"/>
    <w:rsid w:val="00745773"/>
    <w:rsid w:val="00746800"/>
    <w:rsid w:val="007501A8"/>
    <w:rsid w:val="00750D61"/>
    <w:rsid w:val="00750EE1"/>
    <w:rsid w:val="00752B26"/>
    <w:rsid w:val="00752B4D"/>
    <w:rsid w:val="00755402"/>
    <w:rsid w:val="00756B26"/>
    <w:rsid w:val="00756EDF"/>
    <w:rsid w:val="007600E3"/>
    <w:rsid w:val="00763977"/>
    <w:rsid w:val="00765C43"/>
    <w:rsid w:val="00765EFB"/>
    <w:rsid w:val="007671CA"/>
    <w:rsid w:val="00767C61"/>
    <w:rsid w:val="0077008A"/>
    <w:rsid w:val="0077129B"/>
    <w:rsid w:val="00773C1F"/>
    <w:rsid w:val="00774DA4"/>
    <w:rsid w:val="00776599"/>
    <w:rsid w:val="00780EA0"/>
    <w:rsid w:val="0078114B"/>
    <w:rsid w:val="00781DD2"/>
    <w:rsid w:val="00783ECF"/>
    <w:rsid w:val="0078413A"/>
    <w:rsid w:val="007959E8"/>
    <w:rsid w:val="00795E9C"/>
    <w:rsid w:val="007A0521"/>
    <w:rsid w:val="007A2E12"/>
    <w:rsid w:val="007A3475"/>
    <w:rsid w:val="007A41C8"/>
    <w:rsid w:val="007A4E10"/>
    <w:rsid w:val="007A54CE"/>
    <w:rsid w:val="007A5D3A"/>
    <w:rsid w:val="007A6FD9"/>
    <w:rsid w:val="007A7FFA"/>
    <w:rsid w:val="007B04EB"/>
    <w:rsid w:val="007B0D4F"/>
    <w:rsid w:val="007B159F"/>
    <w:rsid w:val="007B2B39"/>
    <w:rsid w:val="007B5A3D"/>
    <w:rsid w:val="007B5B95"/>
    <w:rsid w:val="007B6032"/>
    <w:rsid w:val="007B68EA"/>
    <w:rsid w:val="007B6DB4"/>
    <w:rsid w:val="007B6F2C"/>
    <w:rsid w:val="007B7453"/>
    <w:rsid w:val="007C2D89"/>
    <w:rsid w:val="007C4593"/>
    <w:rsid w:val="007C5309"/>
    <w:rsid w:val="007C6069"/>
    <w:rsid w:val="007D06C4"/>
    <w:rsid w:val="007D1352"/>
    <w:rsid w:val="007D2508"/>
    <w:rsid w:val="007D2B8F"/>
    <w:rsid w:val="007D346A"/>
    <w:rsid w:val="007D6518"/>
    <w:rsid w:val="007D76BD"/>
    <w:rsid w:val="007E0A16"/>
    <w:rsid w:val="007E0B0B"/>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E04"/>
    <w:rsid w:val="008163C8"/>
    <w:rsid w:val="008164A1"/>
    <w:rsid w:val="00817325"/>
    <w:rsid w:val="008209E6"/>
    <w:rsid w:val="00821D19"/>
    <w:rsid w:val="00823303"/>
    <w:rsid w:val="008233B2"/>
    <w:rsid w:val="00823A9F"/>
    <w:rsid w:val="00823C85"/>
    <w:rsid w:val="00825138"/>
    <w:rsid w:val="008269DD"/>
    <w:rsid w:val="00826F3C"/>
    <w:rsid w:val="00830621"/>
    <w:rsid w:val="0083348C"/>
    <w:rsid w:val="008373D3"/>
    <w:rsid w:val="00840617"/>
    <w:rsid w:val="00840F84"/>
    <w:rsid w:val="00842331"/>
    <w:rsid w:val="00842A47"/>
    <w:rsid w:val="00843C13"/>
    <w:rsid w:val="00843DEF"/>
    <w:rsid w:val="0084496E"/>
    <w:rsid w:val="008454F8"/>
    <w:rsid w:val="00846621"/>
    <w:rsid w:val="0085173A"/>
    <w:rsid w:val="008603CE"/>
    <w:rsid w:val="008620FC"/>
    <w:rsid w:val="008627A5"/>
    <w:rsid w:val="00863E05"/>
    <w:rsid w:val="00865ACA"/>
    <w:rsid w:val="00865D28"/>
    <w:rsid w:val="00865F85"/>
    <w:rsid w:val="00867C10"/>
    <w:rsid w:val="00870439"/>
    <w:rsid w:val="00870DA1"/>
    <w:rsid w:val="00881078"/>
    <w:rsid w:val="00883F93"/>
    <w:rsid w:val="00884DB3"/>
    <w:rsid w:val="00885A9D"/>
    <w:rsid w:val="008864F6"/>
    <w:rsid w:val="008903C5"/>
    <w:rsid w:val="0089049D"/>
    <w:rsid w:val="00890B94"/>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1BD"/>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8F2"/>
    <w:rsid w:val="008E1B3E"/>
    <w:rsid w:val="008E2319"/>
    <w:rsid w:val="008E4BB6"/>
    <w:rsid w:val="008E5518"/>
    <w:rsid w:val="008E6A84"/>
    <w:rsid w:val="008F0CDC"/>
    <w:rsid w:val="008F17A3"/>
    <w:rsid w:val="008F1ED3"/>
    <w:rsid w:val="008F4C29"/>
    <w:rsid w:val="008F6CDF"/>
    <w:rsid w:val="008F70BD"/>
    <w:rsid w:val="008F788F"/>
    <w:rsid w:val="008F7EA2"/>
    <w:rsid w:val="00902722"/>
    <w:rsid w:val="009027BC"/>
    <w:rsid w:val="009062E6"/>
    <w:rsid w:val="00911BE5"/>
    <w:rsid w:val="0091215C"/>
    <w:rsid w:val="00913CA9"/>
    <w:rsid w:val="009145AE"/>
    <w:rsid w:val="009146CE"/>
    <w:rsid w:val="00914CA7"/>
    <w:rsid w:val="00915104"/>
    <w:rsid w:val="00915C3E"/>
    <w:rsid w:val="009161A8"/>
    <w:rsid w:val="009178EC"/>
    <w:rsid w:val="009245AE"/>
    <w:rsid w:val="009245F5"/>
    <w:rsid w:val="009249EC"/>
    <w:rsid w:val="009273B3"/>
    <w:rsid w:val="009305B5"/>
    <w:rsid w:val="00933D93"/>
    <w:rsid w:val="00936A0D"/>
    <w:rsid w:val="009378DD"/>
    <w:rsid w:val="00942676"/>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180"/>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2B52"/>
    <w:rsid w:val="009D47FA"/>
    <w:rsid w:val="009D4C5B"/>
    <w:rsid w:val="009D50D2"/>
    <w:rsid w:val="009D5958"/>
    <w:rsid w:val="009D6BCA"/>
    <w:rsid w:val="009E0F62"/>
    <w:rsid w:val="009E4A58"/>
    <w:rsid w:val="009E5A2D"/>
    <w:rsid w:val="009E5AB2"/>
    <w:rsid w:val="009E6219"/>
    <w:rsid w:val="009F03B3"/>
    <w:rsid w:val="009F73FE"/>
    <w:rsid w:val="00A0096C"/>
    <w:rsid w:val="00A01757"/>
    <w:rsid w:val="00A028C0"/>
    <w:rsid w:val="00A02BAE"/>
    <w:rsid w:val="00A06A6B"/>
    <w:rsid w:val="00A07E47"/>
    <w:rsid w:val="00A129D0"/>
    <w:rsid w:val="00A12C33"/>
    <w:rsid w:val="00A138BA"/>
    <w:rsid w:val="00A14C8E"/>
    <w:rsid w:val="00A153D9"/>
    <w:rsid w:val="00A15F09"/>
    <w:rsid w:val="00A169B6"/>
    <w:rsid w:val="00A20EAD"/>
    <w:rsid w:val="00A2271D"/>
    <w:rsid w:val="00A237D5"/>
    <w:rsid w:val="00A23EB3"/>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2D12"/>
    <w:rsid w:val="00A55BD6"/>
    <w:rsid w:val="00A55D50"/>
    <w:rsid w:val="00A57142"/>
    <w:rsid w:val="00A648CD"/>
    <w:rsid w:val="00A6537A"/>
    <w:rsid w:val="00A67866"/>
    <w:rsid w:val="00A70B07"/>
    <w:rsid w:val="00A723F8"/>
    <w:rsid w:val="00A76AB7"/>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26DC"/>
    <w:rsid w:val="00AB4C51"/>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0742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5D8"/>
    <w:rsid w:val="00B378E5"/>
    <w:rsid w:val="00B4346D"/>
    <w:rsid w:val="00B440F4"/>
    <w:rsid w:val="00B44643"/>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2BB"/>
    <w:rsid w:val="00B77EC8"/>
    <w:rsid w:val="00B827A6"/>
    <w:rsid w:val="00B831CE"/>
    <w:rsid w:val="00B86677"/>
    <w:rsid w:val="00B87004"/>
    <w:rsid w:val="00B87131"/>
    <w:rsid w:val="00B939B1"/>
    <w:rsid w:val="00B94707"/>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4418"/>
    <w:rsid w:val="00BE5B52"/>
    <w:rsid w:val="00BE7B8D"/>
    <w:rsid w:val="00BF0993"/>
    <w:rsid w:val="00BF10A9"/>
    <w:rsid w:val="00BF1703"/>
    <w:rsid w:val="00BF231C"/>
    <w:rsid w:val="00BF51E5"/>
    <w:rsid w:val="00BF74A6"/>
    <w:rsid w:val="00C013AD"/>
    <w:rsid w:val="00C04904"/>
    <w:rsid w:val="00C056B3"/>
    <w:rsid w:val="00C103E5"/>
    <w:rsid w:val="00C12B9D"/>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2D21"/>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235"/>
    <w:rsid w:val="00C9435D"/>
    <w:rsid w:val="00C94DF2"/>
    <w:rsid w:val="00C96741"/>
    <w:rsid w:val="00C97942"/>
    <w:rsid w:val="00CA150A"/>
    <w:rsid w:val="00CA2D1B"/>
    <w:rsid w:val="00CA2EC9"/>
    <w:rsid w:val="00CA375D"/>
    <w:rsid w:val="00CA659E"/>
    <w:rsid w:val="00CA662A"/>
    <w:rsid w:val="00CA70E2"/>
    <w:rsid w:val="00CA7AFD"/>
    <w:rsid w:val="00CA7C3C"/>
    <w:rsid w:val="00CB0189"/>
    <w:rsid w:val="00CB0BA2"/>
    <w:rsid w:val="00CB1A42"/>
    <w:rsid w:val="00CB1B0C"/>
    <w:rsid w:val="00CB2C0B"/>
    <w:rsid w:val="00CB517D"/>
    <w:rsid w:val="00CB6147"/>
    <w:rsid w:val="00CC038D"/>
    <w:rsid w:val="00CC08DB"/>
    <w:rsid w:val="00CC39FF"/>
    <w:rsid w:val="00CC3C2F"/>
    <w:rsid w:val="00CC4AC8"/>
    <w:rsid w:val="00CC5233"/>
    <w:rsid w:val="00CC5DE6"/>
    <w:rsid w:val="00CC6E4E"/>
    <w:rsid w:val="00CC6FE8"/>
    <w:rsid w:val="00CC7202"/>
    <w:rsid w:val="00CD2808"/>
    <w:rsid w:val="00CD28BF"/>
    <w:rsid w:val="00CD4092"/>
    <w:rsid w:val="00CD45E7"/>
    <w:rsid w:val="00CD4A20"/>
    <w:rsid w:val="00CD4F56"/>
    <w:rsid w:val="00CD50A1"/>
    <w:rsid w:val="00CD519E"/>
    <w:rsid w:val="00CE0C4F"/>
    <w:rsid w:val="00CE2013"/>
    <w:rsid w:val="00CE30EA"/>
    <w:rsid w:val="00CE605F"/>
    <w:rsid w:val="00CF048A"/>
    <w:rsid w:val="00CF155A"/>
    <w:rsid w:val="00CF2947"/>
    <w:rsid w:val="00CF5040"/>
    <w:rsid w:val="00CF5633"/>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AD7"/>
    <w:rsid w:val="00D20737"/>
    <w:rsid w:val="00D21E81"/>
    <w:rsid w:val="00D223DE"/>
    <w:rsid w:val="00D25E37"/>
    <w:rsid w:val="00D2661A"/>
    <w:rsid w:val="00D27582"/>
    <w:rsid w:val="00D27EC4"/>
    <w:rsid w:val="00D32719"/>
    <w:rsid w:val="00D33333"/>
    <w:rsid w:val="00D34E79"/>
    <w:rsid w:val="00D352A2"/>
    <w:rsid w:val="00D37EC5"/>
    <w:rsid w:val="00D4162B"/>
    <w:rsid w:val="00D4514F"/>
    <w:rsid w:val="00D451E2"/>
    <w:rsid w:val="00D45E89"/>
    <w:rsid w:val="00D45E8D"/>
    <w:rsid w:val="00D466AE"/>
    <w:rsid w:val="00D4734F"/>
    <w:rsid w:val="00D51BF3"/>
    <w:rsid w:val="00D621DC"/>
    <w:rsid w:val="00D66846"/>
    <w:rsid w:val="00D675FB"/>
    <w:rsid w:val="00D71F25"/>
    <w:rsid w:val="00D72A9C"/>
    <w:rsid w:val="00D77031"/>
    <w:rsid w:val="00D84941"/>
    <w:rsid w:val="00D84FA1"/>
    <w:rsid w:val="00D851F0"/>
    <w:rsid w:val="00D85F90"/>
    <w:rsid w:val="00D86DB7"/>
    <w:rsid w:val="00D87BF5"/>
    <w:rsid w:val="00D90721"/>
    <w:rsid w:val="00D926D0"/>
    <w:rsid w:val="00D93030"/>
    <w:rsid w:val="00D93958"/>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D7197"/>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497"/>
    <w:rsid w:val="00E2552F"/>
    <w:rsid w:val="00E27927"/>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CC0"/>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4D59"/>
    <w:rsid w:val="00E85BFF"/>
    <w:rsid w:val="00E85F9C"/>
    <w:rsid w:val="00E90391"/>
    <w:rsid w:val="00E906C2"/>
    <w:rsid w:val="00E9311F"/>
    <w:rsid w:val="00E934D1"/>
    <w:rsid w:val="00E94AF0"/>
    <w:rsid w:val="00E95D13"/>
    <w:rsid w:val="00E95DD3"/>
    <w:rsid w:val="00E969D5"/>
    <w:rsid w:val="00EA3825"/>
    <w:rsid w:val="00EA58D1"/>
    <w:rsid w:val="00EA61BC"/>
    <w:rsid w:val="00EA681A"/>
    <w:rsid w:val="00EA735B"/>
    <w:rsid w:val="00EB1E69"/>
    <w:rsid w:val="00EB2086"/>
    <w:rsid w:val="00EB31ED"/>
    <w:rsid w:val="00EB5EDF"/>
    <w:rsid w:val="00EB60FE"/>
    <w:rsid w:val="00EB74DB"/>
    <w:rsid w:val="00EB7C10"/>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3911"/>
    <w:rsid w:val="00F1409D"/>
    <w:rsid w:val="00F14214"/>
    <w:rsid w:val="00F157A9"/>
    <w:rsid w:val="00F16F00"/>
    <w:rsid w:val="00F25BB6"/>
    <w:rsid w:val="00F26B7E"/>
    <w:rsid w:val="00F27A3B"/>
    <w:rsid w:val="00F301F6"/>
    <w:rsid w:val="00F32780"/>
    <w:rsid w:val="00F33817"/>
    <w:rsid w:val="00F40ED8"/>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8EF"/>
    <w:rsid w:val="00F71E22"/>
    <w:rsid w:val="00F72142"/>
    <w:rsid w:val="00F72AE7"/>
    <w:rsid w:val="00F833BA"/>
    <w:rsid w:val="00F84FD0"/>
    <w:rsid w:val="00F859A8"/>
    <w:rsid w:val="00F86D87"/>
    <w:rsid w:val="00F90C17"/>
    <w:rsid w:val="00F9108B"/>
    <w:rsid w:val="00F91349"/>
    <w:rsid w:val="00F93A8A"/>
    <w:rsid w:val="00F95248"/>
    <w:rsid w:val="00F956A9"/>
    <w:rsid w:val="00F963ED"/>
    <w:rsid w:val="00F966CF"/>
    <w:rsid w:val="00F96CAE"/>
    <w:rsid w:val="00F97C99"/>
    <w:rsid w:val="00FA46A6"/>
    <w:rsid w:val="00FA662D"/>
    <w:rsid w:val="00FA73B1"/>
    <w:rsid w:val="00FB0CB9"/>
    <w:rsid w:val="00FB1794"/>
    <w:rsid w:val="00FB231D"/>
    <w:rsid w:val="00FB45F1"/>
    <w:rsid w:val="00FB4A72"/>
    <w:rsid w:val="00FB54E8"/>
    <w:rsid w:val="00FB6744"/>
    <w:rsid w:val="00FB7054"/>
    <w:rsid w:val="00FC17B7"/>
    <w:rsid w:val="00FC2CB7"/>
    <w:rsid w:val="00FC4090"/>
    <w:rsid w:val="00FC55B4"/>
    <w:rsid w:val="00FD00E6"/>
    <w:rsid w:val="00FD09A1"/>
    <w:rsid w:val="00FD2A7C"/>
    <w:rsid w:val="00FD59EB"/>
    <w:rsid w:val="00FD7299"/>
    <w:rsid w:val="00FD7853"/>
    <w:rsid w:val="00FE1FBE"/>
    <w:rsid w:val="00FE3901"/>
    <w:rsid w:val="00FE39D3"/>
    <w:rsid w:val="00FE4BCE"/>
    <w:rsid w:val="00FE54AE"/>
    <w:rsid w:val="00FE576A"/>
    <w:rsid w:val="00FE7E79"/>
    <w:rsid w:val="00FF05D6"/>
    <w:rsid w:val="00FF2A02"/>
    <w:rsid w:val="00FF3E7D"/>
    <w:rsid w:val="00FF42F5"/>
    <w:rsid w:val="00FF5B99"/>
    <w:rsid w:val="00FF730C"/>
    <w:rsid w:val="00FF73F4"/>
    <w:rsid w:val="00FF7CE4"/>
    <w:rsid w:val="00FF7E39"/>
    <w:rsid w:val="0F5735F8"/>
    <w:rsid w:val="133F206E"/>
    <w:rsid w:val="161A1EA1"/>
    <w:rsid w:val="16EC54E0"/>
    <w:rsid w:val="175B7696"/>
    <w:rsid w:val="26557716"/>
    <w:rsid w:val="26DF701C"/>
    <w:rsid w:val="29303378"/>
    <w:rsid w:val="2A014F13"/>
    <w:rsid w:val="2BBA3BCC"/>
    <w:rsid w:val="2C6A03B9"/>
    <w:rsid w:val="3BCE2F72"/>
    <w:rsid w:val="462E6496"/>
    <w:rsid w:val="49907373"/>
    <w:rsid w:val="4FEE6CB1"/>
    <w:rsid w:val="5BA32ED4"/>
    <w:rsid w:val="5D2E002E"/>
    <w:rsid w:val="603D3CC2"/>
    <w:rsid w:val="643D721D"/>
    <w:rsid w:val="66C67529"/>
    <w:rsid w:val="66F10A4A"/>
    <w:rsid w:val="6DCC1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spacing w:before="280" w:after="290" w:line="376" w:lineRule="auto"/>
      <w:outlineLvl w:val="4"/>
    </w:pPr>
    <w:rPr>
      <w:b/>
      <w:bCs/>
      <w:sz w:val="28"/>
      <w:szCs w:val="28"/>
    </w:rPr>
  </w:style>
  <w:style w:type="paragraph" w:styleId="7">
    <w:name w:val="heading 6"/>
    <w:basedOn w:val="1"/>
    <w:next w:val="1"/>
    <w:link w:val="39"/>
    <w:qFormat/>
    <w:uiPriority w:val="0"/>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spacing w:before="240" w:after="64" w:line="320" w:lineRule="auto"/>
      <w:outlineLvl w:val="6"/>
    </w:pPr>
    <w:rPr>
      <w:b/>
      <w:bCs/>
      <w:sz w:val="24"/>
      <w:szCs w:val="24"/>
    </w:rPr>
  </w:style>
  <w:style w:type="paragraph" w:styleId="9">
    <w:name w:val="heading 8"/>
    <w:basedOn w:val="1"/>
    <w:next w:val="1"/>
    <w:link w:val="41"/>
    <w:qFormat/>
    <w:uiPriority w:val="0"/>
    <w:pPr>
      <w:keepNext/>
      <w:keepLines/>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snapToGrid w:val="0"/>
      <w:jc w:val="right"/>
    </w:pPr>
    <w:rPr>
      <w:rFonts w:ascii="宋体"/>
      <w:sz w:val="18"/>
      <w:szCs w:val="18"/>
    </w:rPr>
  </w:style>
  <w:style w:type="paragraph" w:styleId="18">
    <w:name w:val="header"/>
    <w:basedOn w:val="1"/>
    <w:link w:val="43"/>
    <w:qFormat/>
    <w:uiPriority w:val="99"/>
    <w:pPr>
      <w:tabs>
        <w:tab w:val="center" w:pos="4153"/>
        <w:tab w:val="right" w:pos="8306"/>
      </w:tabs>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snapToGrid w:val="0"/>
      <w:spacing w:line="300" w:lineRule="exact"/>
      <w:ind w:left="400" w:leftChars="200" w:hanging="200" w:hangingChars="200"/>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shd w:val="clear" w:color="FFFFFF" w:fill="FFFFFF"/>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shd w:val="clear" w:color="FFFFFF" w:fill="FFFFFF"/>
      <w:spacing w:before="560" w:after="50" w:afterLines="50"/>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jc w:val="center"/>
    </w:pPr>
    <w:rPr>
      <w:rFonts w:ascii="黑体" w:eastAsia="黑体"/>
      <w:kern w:val="0"/>
      <w:sz w:val="52"/>
    </w:rPr>
  </w:style>
  <w:style w:type="paragraph" w:customStyle="1" w:styleId="71">
    <w:name w:val="标准文件_封面标准英文名称"/>
    <w:basedOn w:val="1"/>
    <w:qFormat/>
    <w:uiPriority w:val="0"/>
    <w:pPr>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snapToGrid/>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ordWrap w:val="0"/>
      <w:overflowPunct w:val="0"/>
      <w:autoSpaceDE w:val="0"/>
      <w:autoSpaceDN w:val="0"/>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rPr>
      <w:bCs/>
      <w:iCs/>
    </w:rPr>
  </w:style>
  <w:style w:type="paragraph" w:customStyle="1" w:styleId="143">
    <w:name w:val="目录 31"/>
    <w:basedOn w:val="1"/>
    <w:next w:val="1"/>
    <w:autoRedefine/>
    <w:semiHidden/>
    <w:qFormat/>
    <w:uiPriority w:val="0"/>
    <w:rPr>
      <w:rFonts w:ascii="宋体" w:hAnsi="宋体"/>
      <w:iCs/>
    </w:rPr>
  </w:style>
  <w:style w:type="paragraph" w:customStyle="1" w:styleId="144">
    <w:name w:val="目录 41"/>
    <w:basedOn w:val="1"/>
    <w:next w:val="1"/>
    <w:autoRedefine/>
    <w:semiHidden/>
    <w:qFormat/>
    <w:uiPriority w:val="0"/>
  </w:style>
  <w:style w:type="paragraph" w:customStyle="1" w:styleId="145">
    <w:name w:val="目录 51"/>
    <w:basedOn w:val="1"/>
    <w:next w:val="1"/>
    <w:autoRedefine/>
    <w:semiHidden/>
    <w:qFormat/>
    <w:uiPriority w:val="0"/>
    <w:rPr>
      <w:rFonts w:ascii="宋体" w:hAnsi="宋体"/>
    </w:rPr>
  </w:style>
  <w:style w:type="paragraph" w:customStyle="1" w:styleId="146">
    <w:name w:val="目录 61"/>
    <w:basedOn w:val="1"/>
    <w:next w:val="1"/>
    <w:autoRedefine/>
    <w:semiHidden/>
    <w:qFormat/>
    <w:uiPriority w:val="0"/>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pPr>
    <w:rPr>
      <w:szCs w:val="24"/>
    </w:rPr>
  </w:style>
  <w:style w:type="paragraph" w:customStyle="1" w:styleId="159">
    <w:name w:val="一级无标题条"/>
    <w:basedOn w:val="1"/>
    <w:qFormat/>
    <w:uiPriority w:val="0"/>
    <w:pPr>
      <w:numPr>
        <w:ilvl w:val="2"/>
        <w:numId w:val="20"/>
      </w:numPr>
      <w:spacing w:before="10" w:after="10"/>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numPr>
        <w:ilvl w:val="0"/>
        <w:numId w:val="29"/>
      </w:numPr>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网格型1"/>
    <w:basedOn w:val="26"/>
    <w:qFormat/>
    <w:uiPriority w:val="39"/>
    <w:rPr>
      <w:rFonts w:eastAsia="Times New Roman"/>
      <w:kern w:val="2"/>
      <w:sz w:val="22"/>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网格型2"/>
    <w:basedOn w:val="26"/>
    <w:qFormat/>
    <w:uiPriority w:val="39"/>
    <w:rPr>
      <w:rFonts w:eastAsia="Times New Roman"/>
      <w:kern w:val="2"/>
      <w:sz w:val="22"/>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Normal"/>
    <w:semiHidden/>
    <w:unhideWhenUsed/>
    <w:qFormat/>
    <w:uiPriority w:val="0"/>
    <w:rPr>
      <w:rFonts w:ascii="Arial" w:hAnsi="Arial" w:cs="Arial"/>
    </w:rPr>
    <w:tblPr>
      <w:tblCellMar>
        <w:top w:w="0" w:type="dxa"/>
        <w:left w:w="0" w:type="dxa"/>
        <w:bottom w:w="0" w:type="dxa"/>
        <w:right w:w="0" w:type="dxa"/>
      </w:tblCellMar>
    </w:tblPr>
  </w:style>
  <w:style w:type="table" w:customStyle="1" w:styleId="233">
    <w:name w:val="Table Normal1"/>
    <w:semiHidden/>
    <w:qFormat/>
    <w:uiPriority w:val="0"/>
    <w:rPr>
      <w:rFonts w:ascii="Arial" w:hAnsi="Arial" w:eastAsia="Times New Roman" w:cs="Arial"/>
    </w:rPr>
    <w:tblPr>
      <w:tblCellMar>
        <w:top w:w="0" w:type="dxa"/>
        <w:left w:w="0" w:type="dxa"/>
        <w:bottom w:w="0" w:type="dxa"/>
        <w:right w:w="0" w:type="dxa"/>
      </w:tblCellMar>
    </w:tblPr>
  </w:style>
  <w:style w:type="paragraph" w:customStyle="1" w:styleId="234">
    <w:name w:val="修订1"/>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7861570DCD747B0BDB9B52BD48CE080"/>
        <w:style w:val=""/>
        <w:category>
          <w:name w:val="常规"/>
          <w:gallery w:val="placeholder"/>
        </w:category>
        <w:types>
          <w:type w:val="bbPlcHdr"/>
        </w:types>
        <w:behaviors>
          <w:behavior w:val="content"/>
        </w:behaviors>
        <w:description w:val=""/>
        <w:guid w:val="{1DAE6FC2-E233-4C82-BABF-2297CD12655C}"/>
      </w:docPartPr>
      <w:docPartBody>
        <w:p w14:paraId="4E5B9B9D">
          <w:pPr>
            <w:pStyle w:val="5"/>
          </w:pPr>
          <w:r>
            <w:rPr>
              <w:rStyle w:val="4"/>
              <w:rFonts w:hint="eastAsia"/>
            </w:rPr>
            <w:t>单击或点击此处输入文字。</w:t>
          </w:r>
        </w:p>
      </w:docPartBody>
    </w:docPart>
    <w:docPart>
      <w:docPartPr>
        <w:name w:val="93484769C51F47D2A63E8812D453B137"/>
        <w:style w:val=""/>
        <w:category>
          <w:name w:val="常规"/>
          <w:gallery w:val="placeholder"/>
        </w:category>
        <w:types>
          <w:type w:val="bbPlcHdr"/>
        </w:types>
        <w:behaviors>
          <w:behavior w:val="content"/>
        </w:behaviors>
        <w:description w:val=""/>
        <w:guid w:val="{263A8A62-188A-4C0E-861E-E65DE0B3A07E}"/>
      </w:docPartPr>
      <w:docPartBody>
        <w:p w14:paraId="1D6227A0">
          <w:pPr>
            <w:pStyle w:val="6"/>
          </w:pPr>
          <w:r>
            <w:rPr>
              <w:rStyle w:val="4"/>
              <w:rFonts w:hint="eastAsia"/>
            </w:rPr>
            <w:t>选择一项。</w:t>
          </w:r>
        </w:p>
      </w:docPartBody>
    </w:docPart>
    <w:docPart>
      <w:docPartPr>
        <w:name w:val="F879461383174384A13FFE8914C8FE15"/>
        <w:style w:val=""/>
        <w:category>
          <w:name w:val="常规"/>
          <w:gallery w:val="placeholder"/>
        </w:category>
        <w:types>
          <w:type w:val="bbPlcHdr"/>
        </w:types>
        <w:behaviors>
          <w:behavior w:val="content"/>
        </w:behaviors>
        <w:description w:val=""/>
        <w:guid w:val="{70339278-1823-4765-9D0E-C2B53C465ED2}"/>
      </w:docPartPr>
      <w:docPartBody>
        <w:p w14:paraId="4D7FE50F">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279"/>
    <w:rsid w:val="000047ED"/>
    <w:rsid w:val="000F1728"/>
    <w:rsid w:val="00296D54"/>
    <w:rsid w:val="002C0D9D"/>
    <w:rsid w:val="00300358"/>
    <w:rsid w:val="00335C9E"/>
    <w:rsid w:val="003D1CD7"/>
    <w:rsid w:val="004C0048"/>
    <w:rsid w:val="004C6B29"/>
    <w:rsid w:val="00654880"/>
    <w:rsid w:val="006B0279"/>
    <w:rsid w:val="00753012"/>
    <w:rsid w:val="00763977"/>
    <w:rsid w:val="008055F9"/>
    <w:rsid w:val="00846328"/>
    <w:rsid w:val="009F07A6"/>
    <w:rsid w:val="00B07422"/>
    <w:rsid w:val="00B4240D"/>
    <w:rsid w:val="00C054A6"/>
    <w:rsid w:val="00C62D21"/>
    <w:rsid w:val="00C94235"/>
    <w:rsid w:val="00CB6147"/>
    <w:rsid w:val="00CD45E7"/>
    <w:rsid w:val="00D621DC"/>
    <w:rsid w:val="00E01F69"/>
    <w:rsid w:val="00E30605"/>
    <w:rsid w:val="00E43220"/>
    <w:rsid w:val="00F07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7861570DCD747B0BDB9B52BD48CE08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3484769C51F47D2A63E8812D453B13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879461383174384A13FFE8914C8FE1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D2A6BA-CFC4-4312-AFD6-113F42686098}">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9</Pages>
  <Words>4294</Words>
  <Characters>4685</Characters>
  <Lines>25</Lines>
  <Paragraphs>15</Paragraphs>
  <TotalTime>0</TotalTime>
  <ScaleCrop>false</ScaleCrop>
  <LinksUpToDate>false</LinksUpToDate>
  <CharactersWithSpaces>4899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2025-08-14T07:19:00Z</dcterms:created>
  <dc:creator>USER</dc:creator>
  <cp:lastModifiedBy>XIEX</cp:lastModifiedBy>
  <cp:lastPrinted>2025-08-20T07:01:00Z</cp:lastPrinted>
  <dcterms:modified xsi:type="dcterms:W3CDTF">2025-09-05T07:33:00Z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eyJoZGlkIjoiNmU0OWNhMGUyYzc2MTI5ZWY2NzM4MTVkMDAwODg0YzMiLCJ1c2VySWQiOiI2ODM5ODUzMDMifQ==</vt:lpwstr>
  </property>
  <property fmtid="{D5CDD505-2E9C-101B-9397-08002B2CF9AE}" pid="15" name="KSOProductBuildVer">
    <vt:lpwstr>2052-12.1.0.22529</vt:lpwstr>
  </property>
  <property fmtid="{D5CDD505-2E9C-101B-9397-08002B2CF9AE}" pid="16" name="ICV">
    <vt:lpwstr>92C3C7D3BFEB4A4493B7A081B8F74A2D_13</vt:lpwstr>
  </property>
</Properties>
</file>